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44"/>
          <w:szCs w:val="44"/>
        </w:rPr>
      </w:pPr>
    </w:p>
    <w:p>
      <w:pPr>
        <w:jc w:val="center"/>
        <w:rPr>
          <w:rFonts w:ascii="仿宋_GB2312" w:eastAsia="仿宋_GB2312"/>
          <w:sz w:val="44"/>
          <w:szCs w:val="44"/>
        </w:rPr>
      </w:pPr>
    </w:p>
    <w:p>
      <w:pPr>
        <w:snapToGrid w:val="0"/>
        <w:spacing w:before="312" w:beforeLines="100" w:line="360" w:lineRule="auto"/>
        <w:jc w:val="center"/>
        <w:rPr>
          <w:rFonts w:hint="eastAsia" w:ascii="宋体" w:hAnsi="宋体"/>
          <w:b/>
          <w:bCs/>
          <w:sz w:val="48"/>
          <w:szCs w:val="48"/>
        </w:rPr>
      </w:pPr>
      <w:r>
        <w:rPr>
          <w:rFonts w:hint="eastAsia" w:ascii="宋体" w:hAnsi="宋体"/>
          <w:b/>
          <w:bCs/>
          <w:sz w:val="48"/>
          <w:szCs w:val="48"/>
        </w:rPr>
        <w:t>大亚人造板集团有限公司</w:t>
      </w:r>
    </w:p>
    <w:p>
      <w:pPr>
        <w:snapToGrid w:val="0"/>
        <w:spacing w:before="312" w:beforeLines="100" w:line="360" w:lineRule="auto"/>
        <w:jc w:val="center"/>
        <w:rPr>
          <w:rFonts w:hint="eastAsia" w:ascii="宋体" w:hAnsi="宋体"/>
          <w:b/>
          <w:bCs/>
          <w:sz w:val="48"/>
          <w:szCs w:val="48"/>
        </w:rPr>
      </w:pPr>
      <w:r>
        <w:rPr>
          <w:rFonts w:hint="eastAsia" w:ascii="宋体" w:hAnsi="宋体"/>
          <w:b/>
          <w:bCs/>
          <w:sz w:val="48"/>
          <w:szCs w:val="48"/>
        </w:rPr>
        <w:t>环 境 保 护 自 查 评 估 报 告</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snapToGrid w:val="0"/>
        <w:spacing w:line="480" w:lineRule="auto"/>
        <w:ind w:left="2240" w:hanging="2240" w:hangingChars="700"/>
        <w:rPr>
          <w:rFonts w:hint="eastAsia" w:asciiTheme="minorEastAsia" w:hAnsiTheme="minorEastAsia" w:eastAsiaTheme="minorEastAsia" w:cstheme="minorEastAsia"/>
          <w:sz w:val="32"/>
          <w:szCs w:val="32"/>
          <w:u w:val="single"/>
        </w:rPr>
      </w:pPr>
      <w:r>
        <w:rPr>
          <w:rFonts w:hint="eastAsia" w:asciiTheme="minorEastAsia" w:hAnsiTheme="minorEastAsia" w:eastAsiaTheme="minorEastAsia" w:cstheme="minorEastAsia"/>
          <w:sz w:val="32"/>
          <w:szCs w:val="32"/>
        </w:rPr>
        <w:t>建设项目名称：</w:t>
      </w:r>
      <w:r>
        <w:rPr>
          <w:rFonts w:hint="eastAsia" w:asciiTheme="minorEastAsia" w:hAnsiTheme="minorEastAsia" w:eastAsiaTheme="minorEastAsia" w:cstheme="minorEastAsia"/>
          <w:sz w:val="32"/>
          <w:szCs w:val="32"/>
          <w:u w:val="single"/>
        </w:rPr>
        <w:t xml:space="preserve">  年产1000万m</w:t>
      </w:r>
      <w:r>
        <w:rPr>
          <w:rFonts w:hint="eastAsia" w:asciiTheme="minorEastAsia" w:hAnsiTheme="minorEastAsia" w:eastAsiaTheme="minorEastAsia" w:cstheme="minorEastAsia"/>
          <w:sz w:val="32"/>
          <w:szCs w:val="32"/>
          <w:u w:val="single"/>
          <w:vertAlign w:val="superscript"/>
        </w:rPr>
        <w:t>2</w:t>
      </w:r>
      <w:r>
        <w:rPr>
          <w:rFonts w:hint="eastAsia" w:asciiTheme="minorEastAsia" w:hAnsiTheme="minorEastAsia" w:eastAsiaTheme="minorEastAsia" w:cstheme="minorEastAsia"/>
          <w:sz w:val="32"/>
          <w:szCs w:val="32"/>
          <w:u w:val="single"/>
        </w:rPr>
        <w:t xml:space="preserve">强化地板扩能项目                              </w:t>
      </w:r>
    </w:p>
    <w:p>
      <w:pPr>
        <w:snapToGrid w:val="0"/>
        <w:spacing w:line="480" w:lineRule="auto"/>
        <w:rPr>
          <w:rFonts w:hint="eastAsia" w:asciiTheme="minorEastAsia" w:hAnsiTheme="minorEastAsia" w:eastAsiaTheme="minorEastAsia" w:cstheme="minorEastAsia"/>
          <w:sz w:val="32"/>
          <w:szCs w:val="32"/>
          <w:u w:val="single"/>
        </w:rPr>
      </w:pPr>
      <w:r>
        <w:rPr>
          <w:rFonts w:hint="eastAsia" w:asciiTheme="minorEastAsia" w:hAnsiTheme="minorEastAsia" w:eastAsiaTheme="minorEastAsia" w:cstheme="minorEastAsia"/>
          <w:sz w:val="32"/>
          <w:szCs w:val="32"/>
        </w:rPr>
        <w:t>建设单位（盖章）：</w:t>
      </w:r>
      <w:r>
        <w:rPr>
          <w:rFonts w:hint="eastAsia" w:asciiTheme="minorEastAsia" w:hAnsiTheme="minorEastAsia" w:eastAsiaTheme="minorEastAsia" w:cstheme="minorEastAsia"/>
          <w:sz w:val="32"/>
          <w:szCs w:val="32"/>
          <w:u w:val="single"/>
        </w:rPr>
        <w:t xml:space="preserve">     大亚人造板集团有限公司         </w:t>
      </w: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spacing w:before="156" w:beforeLines="50"/>
        <w:ind w:firstLine="3060" w:firstLineChars="850"/>
        <w:rPr>
          <w:rFonts w:ascii="宋体" w:hAnsi="宋体"/>
          <w:b/>
          <w:spacing w:val="20"/>
          <w:sz w:val="44"/>
          <w:szCs w:val="44"/>
        </w:rPr>
      </w:pPr>
      <w:r>
        <w:rPr>
          <w:rFonts w:hint="eastAsia" w:ascii="宋体" w:hAnsi="宋体"/>
          <w:sz w:val="36"/>
          <w:szCs w:val="36"/>
        </w:rPr>
        <w:t xml:space="preserve"> 二〇一六年十月</w:t>
      </w:r>
    </w:p>
    <w:p>
      <w:pPr>
        <w:ind w:firstLine="1920" w:firstLineChars="600"/>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24"/>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sz w:val="44"/>
          <w:szCs w:val="44"/>
        </w:rPr>
        <w:t>承  诺</w:t>
      </w:r>
    </w:p>
    <w:p>
      <w:pPr>
        <w:ind w:firstLine="1920" w:firstLineChars="600"/>
        <w:rPr>
          <w:rFonts w:hint="eastAsia" w:asciiTheme="minorEastAsia" w:hAnsiTheme="minorEastAsia" w:eastAsiaTheme="minorEastAsia" w:cstheme="minorEastAsia"/>
          <w:sz w:val="32"/>
          <w:szCs w:val="32"/>
        </w:rPr>
      </w:pPr>
    </w:p>
    <w:p>
      <w:pPr>
        <w:spacing w:line="360" w:lineRule="auto"/>
        <w:ind w:firstLine="640"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我公司（单位）已组织开展了建设项目环境保护自查评估。现承诺如下：</w:t>
      </w:r>
    </w:p>
    <w:p>
      <w:pPr>
        <w:spacing w:line="360" w:lineRule="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1、我公司（单位）已经知悉环保法律、法规、标准等各项环境保护管理要求，本表所填报资料完全属实，如存在瞒报、假报等情况及由此导致的一切后果，愿意承担相关法律责任。</w:t>
      </w:r>
    </w:p>
    <w:p>
      <w:pPr>
        <w:spacing w:line="360" w:lineRule="auto"/>
        <w:ind w:firstLine="66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2、通过开展自查评估工作，我公司（单位）已针对建设项目环境保护存在的问题制定了环保改进完善措施。在项目运行过程中，将认真履行环境保护主体责任，严格遵守环保法律法规，认真落实各项环境管理要求，确保污染防治、生态保护、风险防范措施落实到位。</w:t>
      </w:r>
    </w:p>
    <w:p>
      <w:pPr>
        <w:spacing w:line="360" w:lineRule="auto"/>
        <w:ind w:firstLine="660"/>
        <w:rPr>
          <w:rFonts w:hint="eastAsia" w:asciiTheme="minorEastAsia" w:hAnsiTheme="minorEastAsia" w:eastAsiaTheme="minorEastAsia" w:cstheme="minorEastAsia"/>
          <w:sz w:val="32"/>
          <w:szCs w:val="32"/>
        </w:rPr>
      </w:pPr>
    </w:p>
    <w:p>
      <w:pPr>
        <w:spacing w:line="360" w:lineRule="auto"/>
        <w:ind w:firstLine="660"/>
        <w:rPr>
          <w:rFonts w:hint="eastAsia" w:asciiTheme="minorEastAsia" w:hAnsiTheme="minorEastAsia" w:eastAsiaTheme="minorEastAsia" w:cstheme="minorEastAsia"/>
          <w:sz w:val="32"/>
          <w:szCs w:val="32"/>
        </w:rPr>
      </w:pPr>
    </w:p>
    <w:p>
      <w:pPr>
        <w:spacing w:line="360" w:lineRule="auto"/>
        <w:ind w:firstLine="66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自查评估单位法定代表人（盖章、签字）：</w:t>
      </w:r>
    </w:p>
    <w:p>
      <w:pPr>
        <w:spacing w:line="360" w:lineRule="auto"/>
        <w:ind w:firstLine="660"/>
        <w:rPr>
          <w:rFonts w:hint="eastAsia" w:asciiTheme="minorEastAsia" w:hAnsiTheme="minorEastAsia" w:eastAsiaTheme="minorEastAsia" w:cstheme="minorEastAsia"/>
          <w:sz w:val="32"/>
          <w:szCs w:val="32"/>
        </w:rPr>
      </w:pPr>
    </w:p>
    <w:p>
      <w:pPr>
        <w:spacing w:line="360" w:lineRule="auto"/>
        <w:ind w:firstLine="660"/>
        <w:rPr>
          <w:rFonts w:hint="eastAsia" w:asciiTheme="minorEastAsia" w:hAnsiTheme="minorEastAsia" w:eastAsiaTheme="minorEastAsia" w:cstheme="minorEastAsia"/>
          <w:sz w:val="32"/>
          <w:szCs w:val="32"/>
        </w:rPr>
      </w:pPr>
    </w:p>
    <w:p>
      <w:pPr>
        <w:spacing w:line="360" w:lineRule="auto"/>
        <w:ind w:firstLine="66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联系电话：</w:t>
      </w:r>
    </w:p>
    <w:p>
      <w:pPr>
        <w:jc w:val="center"/>
        <w:rPr>
          <w:rFonts w:hint="eastAsia" w:asciiTheme="minorEastAsia" w:hAnsiTheme="minorEastAsia" w:eastAsiaTheme="minorEastAsia" w:cstheme="minorEastAsia"/>
          <w:sz w:val="24"/>
        </w:rPr>
      </w:pPr>
    </w:p>
    <w:p>
      <w:pPr>
        <w:jc w:val="center"/>
        <w:rPr>
          <w:rFonts w:hint="eastAsia" w:asciiTheme="minorEastAsia" w:hAnsiTheme="minorEastAsia" w:eastAsiaTheme="minorEastAsia" w:cstheme="minorEastAsia"/>
          <w:sz w:val="24"/>
        </w:rPr>
        <w:sectPr>
          <w:head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丹阳市大亚人造板集团有限公司环保自查评估报告</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1" w:hRule="atLeast"/>
        </w:trPr>
        <w:tc>
          <w:tcPr>
            <w:tcW w:w="8302" w:type="dxa"/>
          </w:tcPr>
          <w:p>
            <w:pPr>
              <w:spacing w:before="120" w:beforeLines="5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项目所在镇（区、街道）审核意见：</w:t>
            </w: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（盖章）</w:t>
            </w: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年   月   日</w:t>
            </w:r>
          </w:p>
        </w:tc>
      </w:tr>
    </w:tbl>
    <w:p>
      <w:pPr>
        <w:jc w:val="center"/>
        <w:rPr>
          <w:rFonts w:hint="eastAsia" w:asciiTheme="minorEastAsia" w:hAnsiTheme="minorEastAsia" w:eastAsiaTheme="minorEastAsia" w:cstheme="minorEastAsia"/>
          <w:sz w:val="24"/>
        </w:rPr>
        <w:sectPr>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spacing w:before="156" w:beforeLines="50"/>
        <w:rPr>
          <w:rFonts w:hint="eastAsia"/>
          <w:b/>
          <w:spacing w:val="20"/>
          <w:sz w:val="30"/>
          <w:szCs w:val="30"/>
        </w:rPr>
      </w:pPr>
      <w:r>
        <w:rPr>
          <w:rFonts w:hint="eastAsia"/>
          <w:b/>
          <w:spacing w:val="20"/>
          <w:sz w:val="30"/>
          <w:szCs w:val="30"/>
        </w:rPr>
        <w:pict>
          <v:rect id="_x0000_s2462" o:spid="_x0000_s2462" o:spt="1" style="position:absolute;left:0pt;margin-left:-2.25pt;margin-top:0.75pt;height:694.2pt;width:451.5pt;z-index:-418189312;mso-width-relative:page;mso-height-relative:page;" filled="f" insetpen="f" coordsize="21600,21600">
            <v:path/>
            <v:fill on="f" focussize="0,0"/>
            <v:stroke imagealignshape="1"/>
            <v:imagedata o:title=""/>
            <o:lock v:ext="edit"/>
          </v:rect>
        </w:pict>
      </w:r>
      <w:r>
        <w:rPr>
          <w:rFonts w:hint="eastAsia" w:ascii="宋体" w:hAnsi="宋体"/>
          <w:sz w:val="30"/>
          <w:szCs w:val="30"/>
        </w:rPr>
        <w:t>县（市）环境保护行政主管部门意见：</w:t>
      </w: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spacing w:before="156" w:beforeLines="50"/>
        <w:jc w:val="center"/>
        <w:rPr>
          <w:rFonts w:hint="eastAsia"/>
          <w:b/>
          <w:spacing w:val="20"/>
          <w:sz w:val="44"/>
          <w:szCs w:val="44"/>
        </w:rPr>
      </w:pPr>
    </w:p>
    <w:p>
      <w:pPr>
        <w:jc w:val="both"/>
        <w:rPr>
          <w:rFonts w:hint="eastAsia" w:asciiTheme="minorEastAsia" w:hAnsiTheme="minorEastAsia" w:eastAsiaTheme="minorEastAsia" w:cstheme="minorEastAsia"/>
          <w:sz w:val="24"/>
        </w:rPr>
        <w:sectPr>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jc w:val="center"/>
        <w:rPr>
          <w:rFonts w:hint="eastAsia" w:asciiTheme="minorEastAsia" w:hAnsiTheme="minorEastAsia" w:eastAsiaTheme="minorEastAsia" w:cstheme="minorEastAsia"/>
          <w:b/>
          <w:sz w:val="28"/>
          <w:szCs w:val="28"/>
        </w:rPr>
      </w:pPr>
      <w:bookmarkStart w:id="0" w:name="_Toc146436326"/>
      <w:r>
        <w:rPr>
          <w:rFonts w:hint="eastAsia" w:asciiTheme="minorEastAsia" w:hAnsiTheme="minorEastAsia" w:eastAsiaTheme="minorEastAsia" w:cstheme="minorEastAsia"/>
          <w:b/>
          <w:sz w:val="28"/>
          <w:szCs w:val="28"/>
        </w:rPr>
        <w:t>目   录</w:t>
      </w:r>
    </w:p>
    <w:p>
      <w:pPr>
        <w:pStyle w:val="12"/>
        <w:tabs>
          <w:tab w:val="right" w:leader="dot" w:pos="8312"/>
          <w:tab w:val="clear" w:pos="8296"/>
        </w:tabs>
        <w:rPr>
          <w:sz w:val="28"/>
          <w:szCs w:val="28"/>
        </w:rPr>
      </w:pPr>
      <w:r>
        <w:rPr>
          <w:rStyle w:val="19"/>
          <w:rFonts w:hint="eastAsia" w:asciiTheme="minorEastAsia" w:hAnsiTheme="minorEastAsia" w:eastAsiaTheme="minorEastAsia" w:cstheme="minorEastAsia"/>
          <w:sz w:val="28"/>
          <w:szCs w:val="28"/>
        </w:rPr>
        <w:fldChar w:fldCharType="begin"/>
      </w:r>
      <w:r>
        <w:rPr>
          <w:rStyle w:val="19"/>
          <w:rFonts w:hint="eastAsia" w:asciiTheme="minorEastAsia" w:hAnsiTheme="minorEastAsia" w:eastAsiaTheme="minorEastAsia" w:cstheme="minorEastAsia"/>
          <w:sz w:val="28"/>
          <w:szCs w:val="28"/>
        </w:rPr>
        <w:instrText xml:space="preserve"> TOC \o "1-2" \h \z \u </w:instrText>
      </w:r>
      <w:r>
        <w:rPr>
          <w:rStyle w:val="19"/>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_Toc14518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第1章 总论</w:t>
      </w:r>
      <w:r>
        <w:rPr>
          <w:sz w:val="28"/>
          <w:szCs w:val="28"/>
        </w:rPr>
        <w:tab/>
      </w:r>
      <w:r>
        <w:rPr>
          <w:sz w:val="28"/>
          <w:szCs w:val="28"/>
        </w:rPr>
        <w:fldChar w:fldCharType="begin"/>
      </w:r>
      <w:r>
        <w:rPr>
          <w:sz w:val="28"/>
          <w:szCs w:val="28"/>
        </w:rPr>
        <w:instrText xml:space="preserve"> PAGEREF _Toc14518 </w:instrText>
      </w:r>
      <w:r>
        <w:rPr>
          <w:sz w:val="28"/>
          <w:szCs w:val="28"/>
        </w:rPr>
        <w:fldChar w:fldCharType="separate"/>
      </w:r>
      <w:r>
        <w:rPr>
          <w:sz w:val="28"/>
          <w:szCs w:val="28"/>
        </w:rPr>
        <w:t>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_Toc18635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1.1编制依据</w:t>
      </w:r>
      <w:r>
        <w:rPr>
          <w:sz w:val="28"/>
          <w:szCs w:val="28"/>
        </w:rPr>
        <w:tab/>
      </w:r>
      <w:r>
        <w:rPr>
          <w:sz w:val="28"/>
          <w:szCs w:val="28"/>
        </w:rPr>
        <w:fldChar w:fldCharType="begin"/>
      </w:r>
      <w:r>
        <w:rPr>
          <w:sz w:val="28"/>
          <w:szCs w:val="28"/>
        </w:rPr>
        <w:instrText xml:space="preserve"> PAGEREF _Toc18635 </w:instrText>
      </w:r>
      <w:r>
        <w:rPr>
          <w:sz w:val="28"/>
          <w:szCs w:val="28"/>
        </w:rPr>
        <w:fldChar w:fldCharType="separate"/>
      </w:r>
      <w:r>
        <w:rPr>
          <w:sz w:val="28"/>
          <w:szCs w:val="28"/>
        </w:rPr>
        <w:t>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1.2评价目的、重点</w:t>
      </w:r>
      <w:r>
        <w:rPr>
          <w:sz w:val="28"/>
          <w:szCs w:val="28"/>
        </w:rPr>
        <w:tab/>
      </w:r>
      <w:r>
        <w:rPr>
          <w:sz w:val="28"/>
          <w:szCs w:val="28"/>
        </w:rPr>
        <w:fldChar w:fldCharType="begin"/>
      </w:r>
      <w:r>
        <w:rPr>
          <w:sz w:val="28"/>
          <w:szCs w:val="28"/>
        </w:rPr>
        <w:instrText xml:space="preserve"> PAGEREF _Toc19734 </w:instrText>
      </w:r>
      <w:r>
        <w:rPr>
          <w:sz w:val="28"/>
          <w:szCs w:val="28"/>
        </w:rPr>
        <w:fldChar w:fldCharType="separate"/>
      </w:r>
      <w:r>
        <w:rPr>
          <w:sz w:val="28"/>
          <w:szCs w:val="28"/>
        </w:rPr>
        <w:t>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1.3评估范围及重点保护目标</w:t>
      </w:r>
      <w:r>
        <w:rPr>
          <w:sz w:val="28"/>
          <w:szCs w:val="28"/>
        </w:rPr>
        <w:tab/>
      </w:r>
      <w:r>
        <w:rPr>
          <w:sz w:val="28"/>
          <w:szCs w:val="28"/>
        </w:rPr>
        <w:fldChar w:fldCharType="begin"/>
      </w:r>
      <w:r>
        <w:rPr>
          <w:sz w:val="28"/>
          <w:szCs w:val="28"/>
        </w:rPr>
        <w:instrText xml:space="preserve"> PAGEREF _Toc18436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_Toc3962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1.4环境影响识别和评估因子筛选</w:t>
      </w:r>
      <w:r>
        <w:rPr>
          <w:sz w:val="28"/>
          <w:szCs w:val="28"/>
        </w:rPr>
        <w:tab/>
      </w:r>
      <w:r>
        <w:rPr>
          <w:sz w:val="28"/>
          <w:szCs w:val="28"/>
        </w:rPr>
        <w:fldChar w:fldCharType="begin"/>
      </w:r>
      <w:r>
        <w:rPr>
          <w:sz w:val="28"/>
          <w:szCs w:val="28"/>
        </w:rPr>
        <w:instrText xml:space="preserve"> PAGEREF _Toc3962 </w:instrText>
      </w:r>
      <w:r>
        <w:rPr>
          <w:sz w:val="28"/>
          <w:szCs w:val="28"/>
        </w:rPr>
        <w:fldChar w:fldCharType="separate"/>
      </w:r>
      <w:r>
        <w:rPr>
          <w:sz w:val="28"/>
          <w:szCs w:val="28"/>
        </w:rPr>
        <w:t>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_Toc24905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1.5评估标准</w:t>
      </w:r>
      <w:r>
        <w:rPr>
          <w:sz w:val="28"/>
          <w:szCs w:val="28"/>
        </w:rPr>
        <w:tab/>
      </w:r>
      <w:r>
        <w:rPr>
          <w:sz w:val="28"/>
          <w:szCs w:val="28"/>
        </w:rPr>
        <w:fldChar w:fldCharType="begin"/>
      </w:r>
      <w:r>
        <w:rPr>
          <w:sz w:val="28"/>
          <w:szCs w:val="28"/>
        </w:rPr>
        <w:instrText xml:space="preserve"> PAGEREF _Toc24905 </w:instrText>
      </w:r>
      <w:r>
        <w:rPr>
          <w:sz w:val="28"/>
          <w:szCs w:val="28"/>
        </w:rPr>
        <w:fldChar w:fldCharType="separate"/>
      </w:r>
      <w:r>
        <w:rPr>
          <w:sz w:val="28"/>
          <w:szCs w:val="28"/>
        </w:rPr>
        <w:t>9</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_Toc16505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napToGrid w:val="0"/>
          <w:kern w:val="0"/>
          <w:sz w:val="28"/>
          <w:szCs w:val="28"/>
        </w:rPr>
        <w:t>第2章 建设项目现状分析</w:t>
      </w:r>
      <w:r>
        <w:rPr>
          <w:sz w:val="28"/>
          <w:szCs w:val="28"/>
        </w:rPr>
        <w:tab/>
      </w:r>
      <w:r>
        <w:rPr>
          <w:sz w:val="28"/>
          <w:szCs w:val="28"/>
        </w:rPr>
        <w:fldChar w:fldCharType="begin"/>
      </w:r>
      <w:r>
        <w:rPr>
          <w:sz w:val="28"/>
          <w:szCs w:val="28"/>
        </w:rPr>
        <w:instrText xml:space="preserve"> PAGEREF _Toc16505 </w:instrText>
      </w:r>
      <w:r>
        <w:rPr>
          <w:sz w:val="28"/>
          <w:szCs w:val="28"/>
        </w:rPr>
        <w:fldChar w:fldCharType="separate"/>
      </w:r>
      <w:r>
        <w:rPr>
          <w:sz w:val="28"/>
          <w:szCs w:val="28"/>
        </w:rPr>
        <w:t>12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_Toc32134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2.1项目概况</w:t>
      </w:r>
      <w:r>
        <w:rPr>
          <w:sz w:val="28"/>
          <w:szCs w:val="28"/>
        </w:rPr>
        <w:tab/>
      </w:r>
      <w:r>
        <w:rPr>
          <w:sz w:val="28"/>
          <w:szCs w:val="28"/>
        </w:rPr>
        <w:fldChar w:fldCharType="begin"/>
      </w:r>
      <w:r>
        <w:rPr>
          <w:sz w:val="28"/>
          <w:szCs w:val="28"/>
        </w:rPr>
        <w:instrText xml:space="preserve"> PAGEREF _Toc32134 </w:instrText>
      </w:r>
      <w:r>
        <w:rPr>
          <w:sz w:val="28"/>
          <w:szCs w:val="28"/>
        </w:rPr>
        <w:fldChar w:fldCharType="separate"/>
      </w:r>
      <w:r>
        <w:rPr>
          <w:sz w:val="28"/>
          <w:szCs w:val="28"/>
        </w:rPr>
        <w:t>12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_Toc27957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2.2工艺流程及产污环节分析</w:t>
      </w:r>
      <w:r>
        <w:rPr>
          <w:sz w:val="28"/>
          <w:szCs w:val="28"/>
        </w:rPr>
        <w:tab/>
      </w:r>
      <w:r>
        <w:rPr>
          <w:sz w:val="28"/>
          <w:szCs w:val="28"/>
        </w:rPr>
        <w:fldChar w:fldCharType="begin"/>
      </w:r>
      <w:r>
        <w:rPr>
          <w:sz w:val="28"/>
          <w:szCs w:val="28"/>
        </w:rPr>
        <w:instrText xml:space="preserve"> PAGEREF _Toc27957 </w:instrText>
      </w:r>
      <w:r>
        <w:rPr>
          <w:sz w:val="28"/>
          <w:szCs w:val="28"/>
        </w:rPr>
        <w:fldChar w:fldCharType="separate"/>
      </w:r>
      <w:r>
        <w:rPr>
          <w:sz w:val="28"/>
          <w:szCs w:val="28"/>
        </w:rPr>
        <w:t>15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_Toc17812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2.3项目污染源监测及达标分析</w:t>
      </w:r>
      <w:r>
        <w:rPr>
          <w:sz w:val="28"/>
          <w:szCs w:val="28"/>
        </w:rPr>
        <w:tab/>
      </w:r>
      <w:r>
        <w:rPr>
          <w:sz w:val="28"/>
          <w:szCs w:val="28"/>
        </w:rPr>
        <w:fldChar w:fldCharType="begin"/>
      </w:r>
      <w:r>
        <w:rPr>
          <w:sz w:val="28"/>
          <w:szCs w:val="28"/>
        </w:rPr>
        <w:instrText xml:space="preserve"> PAGEREF _Toc17812 </w:instrText>
      </w:r>
      <w:r>
        <w:rPr>
          <w:sz w:val="28"/>
          <w:szCs w:val="28"/>
        </w:rPr>
        <w:fldChar w:fldCharType="separate"/>
      </w:r>
      <w:r>
        <w:rPr>
          <w:sz w:val="28"/>
          <w:szCs w:val="28"/>
        </w:rPr>
        <w:t>28</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_Toc12896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2.4污染物排放总量</w:t>
      </w:r>
      <w:r>
        <w:rPr>
          <w:sz w:val="28"/>
          <w:szCs w:val="28"/>
        </w:rPr>
        <w:tab/>
      </w:r>
      <w:r>
        <w:rPr>
          <w:sz w:val="28"/>
          <w:szCs w:val="28"/>
        </w:rPr>
        <w:fldChar w:fldCharType="begin"/>
      </w:r>
      <w:r>
        <w:rPr>
          <w:sz w:val="28"/>
          <w:szCs w:val="28"/>
        </w:rPr>
        <w:instrText xml:space="preserve"> PAGEREF _Toc12896 </w:instrText>
      </w:r>
      <w:r>
        <w:rPr>
          <w:sz w:val="28"/>
          <w:szCs w:val="28"/>
        </w:rPr>
        <w:fldChar w:fldCharType="separate"/>
      </w:r>
      <w:r>
        <w:rPr>
          <w:sz w:val="28"/>
          <w:szCs w:val="28"/>
        </w:rPr>
        <w:t>29</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第3章 区域环境概况</w:t>
      </w:r>
      <w:r>
        <w:rPr>
          <w:sz w:val="28"/>
          <w:szCs w:val="28"/>
        </w:rPr>
        <w:tab/>
      </w:r>
      <w:r>
        <w:rPr>
          <w:sz w:val="28"/>
          <w:szCs w:val="28"/>
        </w:rPr>
        <w:fldChar w:fldCharType="begin"/>
      </w:r>
      <w:r>
        <w:rPr>
          <w:sz w:val="28"/>
          <w:szCs w:val="28"/>
        </w:rPr>
        <w:instrText xml:space="preserve"> PAGEREF _Toc1460 </w:instrText>
      </w:r>
      <w:r>
        <w:rPr>
          <w:sz w:val="28"/>
          <w:szCs w:val="28"/>
        </w:rPr>
        <w:fldChar w:fldCharType="separate"/>
      </w:r>
      <w:r>
        <w:rPr>
          <w:sz w:val="28"/>
          <w:szCs w:val="28"/>
        </w:rPr>
        <w:t>31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3.1自然环境概况</w:t>
      </w:r>
      <w:r>
        <w:rPr>
          <w:sz w:val="28"/>
          <w:szCs w:val="28"/>
        </w:rPr>
        <w:tab/>
      </w:r>
      <w:r>
        <w:rPr>
          <w:sz w:val="28"/>
          <w:szCs w:val="28"/>
        </w:rPr>
        <w:fldChar w:fldCharType="begin"/>
      </w:r>
      <w:r>
        <w:rPr>
          <w:sz w:val="28"/>
          <w:szCs w:val="28"/>
        </w:rPr>
        <w:instrText xml:space="preserve"> PAGEREF _Toc3136 </w:instrText>
      </w:r>
      <w:r>
        <w:rPr>
          <w:sz w:val="28"/>
          <w:szCs w:val="28"/>
        </w:rPr>
        <w:fldChar w:fldCharType="separate"/>
      </w:r>
      <w:r>
        <w:rPr>
          <w:sz w:val="28"/>
          <w:szCs w:val="28"/>
        </w:rPr>
        <w:t>31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_Toc19952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 社会环境概况</w:t>
      </w:r>
      <w:r>
        <w:rPr>
          <w:sz w:val="28"/>
          <w:szCs w:val="28"/>
        </w:rPr>
        <w:tab/>
      </w:r>
      <w:r>
        <w:rPr>
          <w:sz w:val="28"/>
          <w:szCs w:val="28"/>
        </w:rPr>
        <w:fldChar w:fldCharType="begin"/>
      </w:r>
      <w:r>
        <w:rPr>
          <w:sz w:val="28"/>
          <w:szCs w:val="28"/>
        </w:rPr>
        <w:instrText xml:space="preserve"> PAGEREF _Toc19952 </w:instrText>
      </w:r>
      <w:r>
        <w:rPr>
          <w:sz w:val="28"/>
          <w:szCs w:val="28"/>
        </w:rPr>
        <w:fldChar w:fldCharType="separate"/>
      </w:r>
      <w:r>
        <w:rPr>
          <w:sz w:val="28"/>
          <w:szCs w:val="28"/>
        </w:rPr>
        <w:t>34</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_Toc17425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3.3环境功能区划</w:t>
      </w:r>
      <w:r>
        <w:rPr>
          <w:sz w:val="28"/>
          <w:szCs w:val="28"/>
        </w:rPr>
        <w:tab/>
      </w:r>
      <w:r>
        <w:rPr>
          <w:sz w:val="28"/>
          <w:szCs w:val="28"/>
        </w:rPr>
        <w:fldChar w:fldCharType="begin"/>
      </w:r>
      <w:r>
        <w:rPr>
          <w:sz w:val="28"/>
          <w:szCs w:val="28"/>
        </w:rPr>
        <w:instrText xml:space="preserve"> PAGEREF _Toc17425 </w:instrText>
      </w:r>
      <w:r>
        <w:rPr>
          <w:sz w:val="28"/>
          <w:szCs w:val="28"/>
        </w:rPr>
        <w:fldChar w:fldCharType="separate"/>
      </w:r>
      <w:r>
        <w:rPr>
          <w:sz w:val="28"/>
          <w:szCs w:val="28"/>
        </w:rPr>
        <w:t>34</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_Toc16012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3.4区域环境质量概况</w:t>
      </w:r>
      <w:r>
        <w:rPr>
          <w:sz w:val="28"/>
          <w:szCs w:val="28"/>
        </w:rPr>
        <w:tab/>
      </w:r>
      <w:r>
        <w:rPr>
          <w:sz w:val="28"/>
          <w:szCs w:val="28"/>
        </w:rPr>
        <w:fldChar w:fldCharType="begin"/>
      </w:r>
      <w:r>
        <w:rPr>
          <w:sz w:val="28"/>
          <w:szCs w:val="28"/>
        </w:rPr>
        <w:instrText xml:space="preserve"> PAGEREF _Toc16012 </w:instrText>
      </w:r>
      <w:r>
        <w:rPr>
          <w:sz w:val="28"/>
          <w:szCs w:val="28"/>
        </w:rPr>
        <w:fldChar w:fldCharType="separate"/>
      </w:r>
      <w:r>
        <w:rPr>
          <w:sz w:val="28"/>
          <w:szCs w:val="28"/>
        </w:rPr>
        <w:t>35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第4章 环境空气影响</w:t>
      </w:r>
      <w:r>
        <w:rPr>
          <w:sz w:val="28"/>
          <w:szCs w:val="28"/>
        </w:rPr>
        <w:tab/>
      </w:r>
      <w:r>
        <w:rPr>
          <w:sz w:val="28"/>
          <w:szCs w:val="28"/>
        </w:rPr>
        <w:fldChar w:fldCharType="begin"/>
      </w:r>
      <w:r>
        <w:rPr>
          <w:sz w:val="28"/>
          <w:szCs w:val="28"/>
        </w:rPr>
        <w:instrText xml:space="preserve"> PAGEREF _Toc19763 </w:instrText>
      </w:r>
      <w:r>
        <w:rPr>
          <w:sz w:val="28"/>
          <w:szCs w:val="28"/>
        </w:rPr>
        <w:fldChar w:fldCharType="separate"/>
      </w:r>
      <w:r>
        <w:rPr>
          <w:sz w:val="28"/>
          <w:szCs w:val="28"/>
        </w:rPr>
        <w:t>37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_Toc10470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4.1环境空气质量现状评估</w:t>
      </w:r>
      <w:r>
        <w:rPr>
          <w:sz w:val="28"/>
          <w:szCs w:val="28"/>
        </w:rPr>
        <w:tab/>
      </w:r>
      <w:r>
        <w:rPr>
          <w:sz w:val="28"/>
          <w:szCs w:val="28"/>
        </w:rPr>
        <w:fldChar w:fldCharType="begin"/>
      </w:r>
      <w:r>
        <w:rPr>
          <w:sz w:val="28"/>
          <w:szCs w:val="28"/>
        </w:rPr>
        <w:instrText xml:space="preserve"> PAGEREF _Toc10470 </w:instrText>
      </w:r>
      <w:r>
        <w:rPr>
          <w:sz w:val="28"/>
          <w:szCs w:val="28"/>
        </w:rPr>
        <w:fldChar w:fldCharType="separate"/>
      </w:r>
      <w:r>
        <w:rPr>
          <w:sz w:val="28"/>
          <w:szCs w:val="28"/>
        </w:rPr>
        <w:t>37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_Toc14596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 污染气象特征分析</w:t>
      </w:r>
      <w:r>
        <w:rPr>
          <w:sz w:val="28"/>
          <w:szCs w:val="28"/>
        </w:rPr>
        <w:tab/>
      </w:r>
      <w:r>
        <w:rPr>
          <w:sz w:val="28"/>
          <w:szCs w:val="28"/>
        </w:rPr>
        <w:fldChar w:fldCharType="begin"/>
      </w:r>
      <w:r>
        <w:rPr>
          <w:sz w:val="28"/>
          <w:szCs w:val="28"/>
        </w:rPr>
        <w:instrText xml:space="preserve"> PAGEREF _Toc14596 </w:instrText>
      </w:r>
      <w:r>
        <w:rPr>
          <w:sz w:val="28"/>
          <w:szCs w:val="28"/>
        </w:rPr>
        <w:fldChar w:fldCharType="separate"/>
      </w:r>
      <w:r>
        <w:rPr>
          <w:sz w:val="28"/>
          <w:szCs w:val="28"/>
        </w:rPr>
        <w:t>37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4.3大气环境影响分析</w:t>
      </w:r>
      <w:r>
        <w:rPr>
          <w:sz w:val="28"/>
          <w:szCs w:val="28"/>
        </w:rPr>
        <w:tab/>
      </w:r>
      <w:r>
        <w:rPr>
          <w:sz w:val="28"/>
          <w:szCs w:val="28"/>
        </w:rPr>
        <w:fldChar w:fldCharType="begin"/>
      </w:r>
      <w:r>
        <w:rPr>
          <w:sz w:val="28"/>
          <w:szCs w:val="28"/>
        </w:rPr>
        <w:instrText xml:space="preserve"> PAGEREF _Toc12410 </w:instrText>
      </w:r>
      <w:r>
        <w:rPr>
          <w:sz w:val="28"/>
          <w:szCs w:val="28"/>
        </w:rPr>
        <w:fldChar w:fldCharType="separate"/>
      </w:r>
      <w:r>
        <w:rPr>
          <w:sz w:val="28"/>
          <w:szCs w:val="28"/>
        </w:rPr>
        <w:t>41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_Toc24152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 卫生防护距离计算</w:t>
      </w:r>
      <w:r>
        <w:rPr>
          <w:sz w:val="28"/>
          <w:szCs w:val="28"/>
        </w:rPr>
        <w:tab/>
      </w:r>
      <w:r>
        <w:rPr>
          <w:sz w:val="28"/>
          <w:szCs w:val="28"/>
        </w:rPr>
        <w:fldChar w:fldCharType="begin"/>
      </w:r>
      <w:r>
        <w:rPr>
          <w:sz w:val="28"/>
          <w:szCs w:val="28"/>
        </w:rPr>
        <w:instrText xml:space="preserve"> PAGEREF _Toc24152 </w:instrText>
      </w:r>
      <w:r>
        <w:rPr>
          <w:sz w:val="28"/>
          <w:szCs w:val="28"/>
        </w:rPr>
        <w:fldChar w:fldCharType="separate"/>
      </w:r>
      <w:r>
        <w:rPr>
          <w:sz w:val="28"/>
          <w:szCs w:val="28"/>
        </w:rPr>
        <w:t>42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_Toc13543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
          <w:bCs/>
          <w:kern w:val="44"/>
          <w:sz w:val="28"/>
          <w:szCs w:val="28"/>
        </w:rPr>
        <w:t>第5章 地表水环境影响</w:t>
      </w:r>
      <w:r>
        <w:rPr>
          <w:sz w:val="28"/>
          <w:szCs w:val="28"/>
        </w:rPr>
        <w:tab/>
      </w:r>
      <w:r>
        <w:rPr>
          <w:sz w:val="28"/>
          <w:szCs w:val="28"/>
        </w:rPr>
        <w:fldChar w:fldCharType="begin"/>
      </w:r>
      <w:r>
        <w:rPr>
          <w:sz w:val="28"/>
          <w:szCs w:val="28"/>
        </w:rPr>
        <w:instrText xml:space="preserve"> PAGEREF _Toc13543 </w:instrText>
      </w:r>
      <w:r>
        <w:rPr>
          <w:sz w:val="28"/>
          <w:szCs w:val="28"/>
        </w:rPr>
        <w:fldChar w:fldCharType="separate"/>
      </w:r>
      <w:r>
        <w:rPr>
          <w:sz w:val="28"/>
          <w:szCs w:val="28"/>
        </w:rPr>
        <w:t>45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_Toc31217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5.1地表水质量现状与评估</w:t>
      </w:r>
      <w:r>
        <w:rPr>
          <w:sz w:val="28"/>
          <w:szCs w:val="28"/>
        </w:rPr>
        <w:tab/>
      </w:r>
      <w:r>
        <w:rPr>
          <w:sz w:val="28"/>
          <w:szCs w:val="28"/>
        </w:rPr>
        <w:fldChar w:fldCharType="begin"/>
      </w:r>
      <w:r>
        <w:rPr>
          <w:sz w:val="28"/>
          <w:szCs w:val="28"/>
        </w:rPr>
        <w:instrText xml:space="preserve"> PAGEREF _Toc31217 </w:instrText>
      </w:r>
      <w:r>
        <w:rPr>
          <w:sz w:val="28"/>
          <w:szCs w:val="28"/>
        </w:rPr>
        <w:fldChar w:fldCharType="separate"/>
      </w:r>
      <w:r>
        <w:rPr>
          <w:sz w:val="28"/>
          <w:szCs w:val="28"/>
        </w:rPr>
        <w:t>45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_Toc21791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 地表水环境影响</w:t>
      </w:r>
      <w:r>
        <w:rPr>
          <w:sz w:val="28"/>
          <w:szCs w:val="28"/>
        </w:rPr>
        <w:tab/>
      </w:r>
      <w:r>
        <w:rPr>
          <w:sz w:val="28"/>
          <w:szCs w:val="28"/>
        </w:rPr>
        <w:fldChar w:fldCharType="begin"/>
      </w:r>
      <w:r>
        <w:rPr>
          <w:sz w:val="28"/>
          <w:szCs w:val="28"/>
        </w:rPr>
        <w:instrText xml:space="preserve"> PAGEREF _Toc21791 </w:instrText>
      </w:r>
      <w:r>
        <w:rPr>
          <w:sz w:val="28"/>
          <w:szCs w:val="28"/>
        </w:rPr>
        <w:fldChar w:fldCharType="separate"/>
      </w:r>
      <w:r>
        <w:rPr>
          <w:sz w:val="28"/>
          <w:szCs w:val="28"/>
        </w:rPr>
        <w:t>45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_Toc30560 </w:instrText>
      </w:r>
      <w:r>
        <w:rPr>
          <w:rFonts w:hint="eastAsia" w:asciiTheme="minorEastAsia" w:hAnsiTheme="minorEastAsia" w:eastAsiaTheme="minorEastAsia" w:cstheme="minorEastAsia"/>
          <w:sz w:val="28"/>
          <w:szCs w:val="28"/>
        </w:rPr>
        <w:fldChar w:fldCharType="separate"/>
      </w:r>
      <w:r>
        <w:rPr>
          <w:rFonts w:hint="eastAsia"/>
          <w:sz w:val="28"/>
          <w:szCs w:val="28"/>
          <w:lang w:val="en-US" w:eastAsia="zh-CN"/>
        </w:rPr>
        <w:t>第6章   地下水环境影响</w:t>
      </w:r>
      <w:r>
        <w:rPr>
          <w:sz w:val="28"/>
          <w:szCs w:val="28"/>
        </w:rPr>
        <w:tab/>
      </w:r>
      <w:r>
        <w:rPr>
          <w:sz w:val="28"/>
          <w:szCs w:val="28"/>
        </w:rPr>
        <w:fldChar w:fldCharType="begin"/>
      </w:r>
      <w:r>
        <w:rPr>
          <w:sz w:val="28"/>
          <w:szCs w:val="28"/>
        </w:rPr>
        <w:instrText xml:space="preserve"> PAGEREF _Toc30560 </w:instrText>
      </w:r>
      <w:r>
        <w:rPr>
          <w:sz w:val="28"/>
          <w:szCs w:val="28"/>
        </w:rPr>
        <w:fldChar w:fldCharType="separate"/>
      </w:r>
      <w:r>
        <w:rPr>
          <w:sz w:val="28"/>
          <w:szCs w:val="28"/>
        </w:rPr>
        <w:t>46</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_Toc7474 </w:instrText>
      </w:r>
      <w:r>
        <w:rPr>
          <w:rFonts w:hint="eastAsia" w:asciiTheme="minorEastAsia" w:hAnsiTheme="minorEastAsia" w:eastAsiaTheme="minorEastAsia" w:cstheme="minorEastAsia"/>
          <w:sz w:val="28"/>
          <w:szCs w:val="28"/>
        </w:rPr>
        <w:fldChar w:fldCharType="separate"/>
      </w:r>
      <w:r>
        <w:rPr>
          <w:rFonts w:hint="eastAsia"/>
          <w:sz w:val="28"/>
          <w:szCs w:val="28"/>
        </w:rPr>
        <w:t>第7章   声环境影响</w:t>
      </w:r>
      <w:r>
        <w:rPr>
          <w:sz w:val="28"/>
          <w:szCs w:val="28"/>
        </w:rPr>
        <w:tab/>
      </w:r>
      <w:r>
        <w:rPr>
          <w:sz w:val="28"/>
          <w:szCs w:val="28"/>
        </w:rPr>
        <w:fldChar w:fldCharType="begin"/>
      </w:r>
      <w:r>
        <w:rPr>
          <w:sz w:val="28"/>
          <w:szCs w:val="28"/>
        </w:rPr>
        <w:instrText xml:space="preserve"> PAGEREF _Toc7474 </w:instrText>
      </w:r>
      <w:r>
        <w:rPr>
          <w:sz w:val="28"/>
          <w:szCs w:val="28"/>
        </w:rPr>
        <w:fldChar w:fldCharType="separate"/>
      </w:r>
      <w:r>
        <w:rPr>
          <w:sz w:val="28"/>
          <w:szCs w:val="28"/>
        </w:rPr>
        <w:t>46</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_Toc20014 </w:instrText>
      </w:r>
      <w:r>
        <w:rPr>
          <w:rFonts w:hint="eastAsia" w:asciiTheme="minorEastAsia" w:hAnsiTheme="minorEastAsia" w:eastAsiaTheme="minorEastAsia" w:cstheme="minorEastAsia"/>
          <w:sz w:val="28"/>
          <w:szCs w:val="28"/>
        </w:rPr>
        <w:fldChar w:fldCharType="separate"/>
      </w:r>
      <w:r>
        <w:rPr>
          <w:rFonts w:hint="eastAsia"/>
          <w:sz w:val="28"/>
          <w:szCs w:val="28"/>
        </w:rPr>
        <w:t>第8章   固体废物环境影响分析</w:t>
      </w:r>
      <w:r>
        <w:rPr>
          <w:sz w:val="28"/>
          <w:szCs w:val="28"/>
        </w:rPr>
        <w:tab/>
      </w:r>
      <w:r>
        <w:rPr>
          <w:sz w:val="28"/>
          <w:szCs w:val="28"/>
        </w:rPr>
        <w:fldChar w:fldCharType="begin"/>
      </w:r>
      <w:r>
        <w:rPr>
          <w:sz w:val="28"/>
          <w:szCs w:val="28"/>
        </w:rPr>
        <w:instrText xml:space="preserve"> PAGEREF _Toc20014 </w:instrText>
      </w:r>
      <w:r>
        <w:rPr>
          <w:sz w:val="28"/>
          <w:szCs w:val="28"/>
        </w:rPr>
        <w:fldChar w:fldCharType="separate"/>
      </w:r>
      <w:r>
        <w:rPr>
          <w:sz w:val="28"/>
          <w:szCs w:val="28"/>
        </w:rPr>
        <w:t>47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_Toc15185 </w:instrText>
      </w:r>
      <w:r>
        <w:rPr>
          <w:rFonts w:hint="eastAsia" w:asciiTheme="minorEastAsia" w:hAnsiTheme="minorEastAsia" w:eastAsiaTheme="minorEastAsia" w:cstheme="minorEastAsia"/>
          <w:sz w:val="28"/>
          <w:szCs w:val="28"/>
        </w:rPr>
        <w:fldChar w:fldCharType="separate"/>
      </w:r>
      <w:r>
        <w:rPr>
          <w:rFonts w:hint="eastAsia"/>
          <w:sz w:val="28"/>
          <w:szCs w:val="28"/>
        </w:rPr>
        <w:t>第9章 厂区绿化工程建设</w:t>
      </w:r>
      <w:r>
        <w:rPr>
          <w:sz w:val="28"/>
          <w:szCs w:val="28"/>
        </w:rPr>
        <w:tab/>
      </w:r>
      <w:r>
        <w:rPr>
          <w:sz w:val="28"/>
          <w:szCs w:val="28"/>
        </w:rPr>
        <w:fldChar w:fldCharType="begin"/>
      </w:r>
      <w:r>
        <w:rPr>
          <w:sz w:val="28"/>
          <w:szCs w:val="28"/>
        </w:rPr>
        <w:instrText xml:space="preserve"> PAGEREF _Toc15185 </w:instrText>
      </w:r>
      <w:r>
        <w:rPr>
          <w:sz w:val="28"/>
          <w:szCs w:val="28"/>
        </w:rPr>
        <w:fldChar w:fldCharType="separate"/>
      </w:r>
      <w:r>
        <w:rPr>
          <w:sz w:val="28"/>
          <w:szCs w:val="28"/>
        </w:rPr>
        <w:t>47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_Toc32084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第10章 环境风险评估</w:t>
      </w:r>
      <w:r>
        <w:rPr>
          <w:sz w:val="28"/>
          <w:szCs w:val="28"/>
        </w:rPr>
        <w:tab/>
      </w:r>
      <w:r>
        <w:rPr>
          <w:sz w:val="28"/>
          <w:szCs w:val="28"/>
        </w:rPr>
        <w:fldChar w:fldCharType="begin"/>
      </w:r>
      <w:r>
        <w:rPr>
          <w:sz w:val="28"/>
          <w:szCs w:val="28"/>
        </w:rPr>
        <w:instrText xml:space="preserve"> PAGEREF _Toc32084 </w:instrText>
      </w:r>
      <w:r>
        <w:rPr>
          <w:sz w:val="28"/>
          <w:szCs w:val="28"/>
        </w:rPr>
        <w:fldChar w:fldCharType="separate"/>
      </w:r>
      <w:r>
        <w:rPr>
          <w:sz w:val="28"/>
          <w:szCs w:val="28"/>
        </w:rPr>
        <w:t>48</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_Toc15864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10.1概述</w:t>
      </w:r>
      <w:r>
        <w:rPr>
          <w:sz w:val="28"/>
          <w:szCs w:val="28"/>
        </w:rPr>
        <w:tab/>
      </w:r>
      <w:r>
        <w:rPr>
          <w:sz w:val="28"/>
          <w:szCs w:val="28"/>
        </w:rPr>
        <w:fldChar w:fldCharType="begin"/>
      </w:r>
      <w:r>
        <w:rPr>
          <w:sz w:val="28"/>
          <w:szCs w:val="28"/>
        </w:rPr>
        <w:instrText xml:space="preserve"> PAGEREF _Toc15864 </w:instrText>
      </w:r>
      <w:r>
        <w:rPr>
          <w:sz w:val="28"/>
          <w:szCs w:val="28"/>
        </w:rPr>
        <w:fldChar w:fldCharType="separate"/>
      </w:r>
      <w:r>
        <w:rPr>
          <w:sz w:val="28"/>
          <w:szCs w:val="28"/>
        </w:rPr>
        <w:t>48</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_Toc16184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10.2风险识别</w:t>
      </w:r>
      <w:r>
        <w:rPr>
          <w:sz w:val="28"/>
          <w:szCs w:val="28"/>
        </w:rPr>
        <w:tab/>
      </w:r>
      <w:r>
        <w:rPr>
          <w:sz w:val="28"/>
          <w:szCs w:val="28"/>
        </w:rPr>
        <w:fldChar w:fldCharType="begin"/>
      </w:r>
      <w:r>
        <w:rPr>
          <w:sz w:val="28"/>
          <w:szCs w:val="28"/>
        </w:rPr>
        <w:instrText xml:space="preserve"> PAGEREF _Toc16184 </w:instrText>
      </w:r>
      <w:r>
        <w:rPr>
          <w:sz w:val="28"/>
          <w:szCs w:val="28"/>
        </w:rPr>
        <w:fldChar w:fldCharType="separate"/>
      </w:r>
      <w:r>
        <w:rPr>
          <w:sz w:val="28"/>
          <w:szCs w:val="28"/>
        </w:rPr>
        <w:t>48</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_Toc11363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10.3风险源项分析</w:t>
      </w:r>
      <w:r>
        <w:rPr>
          <w:sz w:val="28"/>
          <w:szCs w:val="28"/>
        </w:rPr>
        <w:tab/>
      </w:r>
      <w:r>
        <w:rPr>
          <w:sz w:val="28"/>
          <w:szCs w:val="28"/>
        </w:rPr>
        <w:fldChar w:fldCharType="begin"/>
      </w:r>
      <w:r>
        <w:rPr>
          <w:sz w:val="28"/>
          <w:szCs w:val="28"/>
        </w:rPr>
        <w:instrText xml:space="preserve"> PAGEREF _Toc11363 </w:instrText>
      </w:r>
      <w:r>
        <w:rPr>
          <w:sz w:val="28"/>
          <w:szCs w:val="28"/>
        </w:rPr>
        <w:fldChar w:fldCharType="separate"/>
      </w:r>
      <w:r>
        <w:rPr>
          <w:sz w:val="28"/>
          <w:szCs w:val="28"/>
        </w:rPr>
        <w:t>49</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_Toc8910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10.4环境风险影响分析</w:t>
      </w:r>
      <w:r>
        <w:rPr>
          <w:sz w:val="28"/>
          <w:szCs w:val="28"/>
        </w:rPr>
        <w:tab/>
      </w:r>
      <w:r>
        <w:rPr>
          <w:sz w:val="28"/>
          <w:szCs w:val="28"/>
        </w:rPr>
        <w:fldChar w:fldCharType="begin"/>
      </w:r>
      <w:r>
        <w:rPr>
          <w:sz w:val="28"/>
          <w:szCs w:val="28"/>
        </w:rPr>
        <w:instrText xml:space="preserve"> PAGEREF _Toc8910 </w:instrText>
      </w:r>
      <w:r>
        <w:rPr>
          <w:sz w:val="28"/>
          <w:szCs w:val="28"/>
        </w:rPr>
        <w:fldChar w:fldCharType="separate"/>
      </w:r>
      <w:r>
        <w:rPr>
          <w:sz w:val="28"/>
          <w:szCs w:val="28"/>
        </w:rPr>
        <w:t>49</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_Toc5053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10.5环境风险防范措施</w:t>
      </w:r>
      <w:r>
        <w:rPr>
          <w:sz w:val="28"/>
          <w:szCs w:val="28"/>
        </w:rPr>
        <w:tab/>
      </w:r>
      <w:r>
        <w:rPr>
          <w:sz w:val="28"/>
          <w:szCs w:val="28"/>
        </w:rPr>
        <w:fldChar w:fldCharType="begin"/>
      </w:r>
      <w:r>
        <w:rPr>
          <w:sz w:val="28"/>
          <w:szCs w:val="28"/>
        </w:rPr>
        <w:instrText xml:space="preserve"> PAGEREF _Toc5053 </w:instrText>
      </w:r>
      <w:r>
        <w:rPr>
          <w:sz w:val="28"/>
          <w:szCs w:val="28"/>
        </w:rPr>
        <w:fldChar w:fldCharType="separate"/>
      </w:r>
      <w:r>
        <w:rPr>
          <w:sz w:val="28"/>
          <w:szCs w:val="28"/>
        </w:rPr>
        <w:t>50</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_Toc23184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 风险事故应急预案</w:t>
      </w:r>
      <w:r>
        <w:rPr>
          <w:sz w:val="28"/>
          <w:szCs w:val="28"/>
        </w:rPr>
        <w:tab/>
      </w:r>
      <w:r>
        <w:rPr>
          <w:sz w:val="28"/>
          <w:szCs w:val="28"/>
        </w:rPr>
        <w:fldChar w:fldCharType="begin"/>
      </w:r>
      <w:r>
        <w:rPr>
          <w:sz w:val="28"/>
          <w:szCs w:val="28"/>
        </w:rPr>
        <w:instrText xml:space="preserve"> PAGEREF _Toc23184 </w:instrText>
      </w:r>
      <w:r>
        <w:rPr>
          <w:sz w:val="28"/>
          <w:szCs w:val="28"/>
        </w:rPr>
        <w:fldChar w:fldCharType="separate"/>
      </w:r>
      <w:r>
        <w:rPr>
          <w:sz w:val="28"/>
          <w:szCs w:val="28"/>
        </w:rPr>
        <w:t>51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_Toc13990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 xml:space="preserve">7 </w:t>
      </w:r>
      <w:r>
        <w:rPr>
          <w:rFonts w:hint="eastAsia" w:asciiTheme="minorEastAsia" w:hAnsiTheme="minorEastAsia" w:eastAsiaTheme="minorEastAsia" w:cstheme="minorEastAsia"/>
          <w:sz w:val="28"/>
          <w:szCs w:val="28"/>
        </w:rPr>
        <w:t>环境事件社会稳定风险评估</w:t>
      </w:r>
      <w:r>
        <w:rPr>
          <w:sz w:val="28"/>
          <w:szCs w:val="28"/>
        </w:rPr>
        <w:tab/>
      </w:r>
      <w:r>
        <w:rPr>
          <w:sz w:val="28"/>
          <w:szCs w:val="28"/>
        </w:rPr>
        <w:fldChar w:fldCharType="begin"/>
      </w:r>
      <w:r>
        <w:rPr>
          <w:sz w:val="28"/>
          <w:szCs w:val="28"/>
        </w:rPr>
        <w:instrText xml:space="preserve"> PAGEREF _Toc13990 </w:instrText>
      </w:r>
      <w:r>
        <w:rPr>
          <w:sz w:val="28"/>
          <w:szCs w:val="28"/>
        </w:rPr>
        <w:fldChar w:fldCharType="separate"/>
      </w:r>
      <w:r>
        <w:rPr>
          <w:sz w:val="28"/>
          <w:szCs w:val="28"/>
        </w:rPr>
        <w:t>52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_Toc22632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第11章 污染防治措施及其技术经济论证</w:t>
      </w:r>
      <w:r>
        <w:rPr>
          <w:sz w:val="28"/>
          <w:szCs w:val="28"/>
        </w:rPr>
        <w:tab/>
      </w:r>
      <w:r>
        <w:rPr>
          <w:sz w:val="28"/>
          <w:szCs w:val="28"/>
        </w:rPr>
        <w:fldChar w:fldCharType="begin"/>
      </w:r>
      <w:r>
        <w:rPr>
          <w:sz w:val="28"/>
          <w:szCs w:val="28"/>
        </w:rPr>
        <w:instrText xml:space="preserve"> PAGEREF _Toc22632 </w:instrText>
      </w:r>
      <w:r>
        <w:rPr>
          <w:sz w:val="28"/>
          <w:szCs w:val="28"/>
        </w:rPr>
        <w:fldChar w:fldCharType="separate"/>
      </w:r>
      <w:r>
        <w:rPr>
          <w:sz w:val="28"/>
          <w:szCs w:val="28"/>
        </w:rPr>
        <w:t>57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_Toc14849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11.1 工程建设的污染防治措施调查</w:t>
      </w:r>
      <w:r>
        <w:rPr>
          <w:sz w:val="28"/>
          <w:szCs w:val="28"/>
        </w:rPr>
        <w:tab/>
      </w:r>
      <w:r>
        <w:rPr>
          <w:sz w:val="28"/>
          <w:szCs w:val="28"/>
        </w:rPr>
        <w:fldChar w:fldCharType="begin"/>
      </w:r>
      <w:r>
        <w:rPr>
          <w:sz w:val="28"/>
          <w:szCs w:val="28"/>
        </w:rPr>
        <w:instrText xml:space="preserve"> PAGEREF _Toc14849 </w:instrText>
      </w:r>
      <w:r>
        <w:rPr>
          <w:sz w:val="28"/>
          <w:szCs w:val="28"/>
        </w:rPr>
        <w:fldChar w:fldCharType="separate"/>
      </w:r>
      <w:r>
        <w:rPr>
          <w:sz w:val="28"/>
          <w:szCs w:val="28"/>
        </w:rPr>
        <w:t>57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_Toc17864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11.2 废水治理措施、达标情况及运行费用经济分析</w:t>
      </w:r>
      <w:r>
        <w:rPr>
          <w:sz w:val="28"/>
          <w:szCs w:val="28"/>
        </w:rPr>
        <w:tab/>
      </w:r>
      <w:r>
        <w:rPr>
          <w:sz w:val="28"/>
          <w:szCs w:val="28"/>
        </w:rPr>
        <w:fldChar w:fldCharType="begin"/>
      </w:r>
      <w:r>
        <w:rPr>
          <w:sz w:val="28"/>
          <w:szCs w:val="28"/>
        </w:rPr>
        <w:instrText xml:space="preserve"> PAGEREF _Toc17864 </w:instrText>
      </w:r>
      <w:r>
        <w:rPr>
          <w:sz w:val="28"/>
          <w:szCs w:val="28"/>
        </w:rPr>
        <w:fldChar w:fldCharType="separate"/>
      </w:r>
      <w:r>
        <w:rPr>
          <w:sz w:val="28"/>
          <w:szCs w:val="28"/>
        </w:rPr>
        <w:t>57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_Toc16687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11.3 废气污染防治措施、达标情况及运行费用经济分析</w:t>
      </w:r>
      <w:r>
        <w:rPr>
          <w:sz w:val="28"/>
          <w:szCs w:val="28"/>
        </w:rPr>
        <w:tab/>
      </w:r>
      <w:r>
        <w:rPr>
          <w:sz w:val="28"/>
          <w:szCs w:val="28"/>
        </w:rPr>
        <w:fldChar w:fldCharType="begin"/>
      </w:r>
      <w:r>
        <w:rPr>
          <w:sz w:val="28"/>
          <w:szCs w:val="28"/>
        </w:rPr>
        <w:instrText xml:space="preserve"> PAGEREF _Toc16687 </w:instrText>
      </w:r>
      <w:r>
        <w:rPr>
          <w:sz w:val="28"/>
          <w:szCs w:val="28"/>
        </w:rPr>
        <w:fldChar w:fldCharType="separate"/>
      </w:r>
      <w:r>
        <w:rPr>
          <w:sz w:val="28"/>
          <w:szCs w:val="28"/>
        </w:rPr>
        <w:t>58</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_Toc8565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11.4 固体废弃物治理措施、相关规定满足情况</w:t>
      </w:r>
      <w:bookmarkStart w:id="138" w:name="_GoBack"/>
      <w:bookmarkEnd w:id="138"/>
      <w:r>
        <w:rPr>
          <w:rFonts w:hint="eastAsia" w:asciiTheme="minorEastAsia" w:hAnsiTheme="minorEastAsia" w:eastAsiaTheme="minorEastAsia" w:cstheme="minorEastAsia"/>
          <w:sz w:val="28"/>
          <w:szCs w:val="28"/>
        </w:rPr>
        <w:t>及运行费用经济分析</w:t>
      </w:r>
      <w:r>
        <w:rPr>
          <w:sz w:val="28"/>
          <w:szCs w:val="28"/>
        </w:rPr>
        <w:tab/>
      </w:r>
      <w:r>
        <w:rPr>
          <w:sz w:val="28"/>
          <w:szCs w:val="28"/>
        </w:rPr>
        <w:fldChar w:fldCharType="begin"/>
      </w:r>
      <w:r>
        <w:rPr>
          <w:sz w:val="28"/>
          <w:szCs w:val="28"/>
        </w:rPr>
        <w:instrText xml:space="preserve"> PAGEREF _Toc8565 </w:instrText>
      </w:r>
      <w:r>
        <w:rPr>
          <w:sz w:val="28"/>
          <w:szCs w:val="28"/>
        </w:rPr>
        <w:fldChar w:fldCharType="separate"/>
      </w:r>
      <w:r>
        <w:rPr>
          <w:sz w:val="28"/>
          <w:szCs w:val="28"/>
        </w:rPr>
        <w:t>59</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_Toc15648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11.5 噪声治理措施、达标情况及运行费用经济分析</w:t>
      </w:r>
      <w:r>
        <w:rPr>
          <w:sz w:val="28"/>
          <w:szCs w:val="28"/>
        </w:rPr>
        <w:tab/>
      </w:r>
      <w:r>
        <w:rPr>
          <w:sz w:val="28"/>
          <w:szCs w:val="28"/>
        </w:rPr>
        <w:fldChar w:fldCharType="begin"/>
      </w:r>
      <w:r>
        <w:rPr>
          <w:sz w:val="28"/>
          <w:szCs w:val="28"/>
        </w:rPr>
        <w:instrText xml:space="preserve"> PAGEREF _Toc15648 </w:instrText>
      </w:r>
      <w:r>
        <w:rPr>
          <w:sz w:val="28"/>
          <w:szCs w:val="28"/>
        </w:rPr>
        <w:fldChar w:fldCharType="separate"/>
      </w:r>
      <w:r>
        <w:rPr>
          <w:sz w:val="28"/>
          <w:szCs w:val="28"/>
        </w:rPr>
        <w:t>59</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_Toc22749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11.6 污染防治措施调查结论及改进措施</w:t>
      </w:r>
      <w:r>
        <w:rPr>
          <w:sz w:val="28"/>
          <w:szCs w:val="28"/>
        </w:rPr>
        <w:tab/>
      </w:r>
      <w:r>
        <w:rPr>
          <w:sz w:val="28"/>
          <w:szCs w:val="28"/>
        </w:rPr>
        <w:fldChar w:fldCharType="begin"/>
      </w:r>
      <w:r>
        <w:rPr>
          <w:sz w:val="28"/>
          <w:szCs w:val="28"/>
        </w:rPr>
        <w:instrText xml:space="preserve"> PAGEREF _Toc22749 </w:instrText>
      </w:r>
      <w:r>
        <w:rPr>
          <w:sz w:val="28"/>
          <w:szCs w:val="28"/>
        </w:rPr>
        <w:fldChar w:fldCharType="separate"/>
      </w:r>
      <w:r>
        <w:rPr>
          <w:sz w:val="28"/>
          <w:szCs w:val="28"/>
        </w:rPr>
        <w:t>60</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第12章 污染物总量控制</w:t>
      </w:r>
      <w:r>
        <w:rPr>
          <w:sz w:val="28"/>
          <w:szCs w:val="28"/>
        </w:rPr>
        <w:tab/>
      </w:r>
      <w:r>
        <w:rPr>
          <w:sz w:val="28"/>
          <w:szCs w:val="28"/>
        </w:rPr>
        <w:fldChar w:fldCharType="begin"/>
      </w:r>
      <w:r>
        <w:rPr>
          <w:sz w:val="28"/>
          <w:szCs w:val="28"/>
        </w:rPr>
        <w:instrText xml:space="preserve"> PAGEREF _Toc3291 </w:instrText>
      </w:r>
      <w:r>
        <w:rPr>
          <w:sz w:val="28"/>
          <w:szCs w:val="28"/>
        </w:rPr>
        <w:fldChar w:fldCharType="separate"/>
      </w:r>
      <w:r>
        <w:rPr>
          <w:sz w:val="28"/>
          <w:szCs w:val="28"/>
        </w:rPr>
        <w:t>61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_Toc8431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12.1 排污总量控制对象</w:t>
      </w:r>
      <w:r>
        <w:rPr>
          <w:sz w:val="28"/>
          <w:szCs w:val="28"/>
        </w:rPr>
        <w:tab/>
      </w:r>
      <w:r>
        <w:rPr>
          <w:sz w:val="28"/>
          <w:szCs w:val="28"/>
        </w:rPr>
        <w:fldChar w:fldCharType="begin"/>
      </w:r>
      <w:r>
        <w:rPr>
          <w:sz w:val="28"/>
          <w:szCs w:val="28"/>
        </w:rPr>
        <w:instrText xml:space="preserve"> PAGEREF _Toc8431 </w:instrText>
      </w:r>
      <w:r>
        <w:rPr>
          <w:sz w:val="28"/>
          <w:szCs w:val="28"/>
        </w:rPr>
        <w:fldChar w:fldCharType="separate"/>
      </w:r>
      <w:r>
        <w:rPr>
          <w:sz w:val="28"/>
          <w:szCs w:val="28"/>
        </w:rPr>
        <w:t>61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12.2 排污总量控制分析</w:t>
      </w:r>
      <w:r>
        <w:rPr>
          <w:sz w:val="28"/>
          <w:szCs w:val="28"/>
        </w:rPr>
        <w:tab/>
      </w:r>
      <w:r>
        <w:rPr>
          <w:sz w:val="28"/>
          <w:szCs w:val="28"/>
        </w:rPr>
        <w:fldChar w:fldCharType="begin"/>
      </w:r>
      <w:r>
        <w:rPr>
          <w:sz w:val="28"/>
          <w:szCs w:val="28"/>
        </w:rPr>
        <w:instrText xml:space="preserve"> PAGEREF _Toc17271 </w:instrText>
      </w:r>
      <w:r>
        <w:rPr>
          <w:sz w:val="28"/>
          <w:szCs w:val="28"/>
        </w:rPr>
        <w:fldChar w:fldCharType="separate"/>
      </w:r>
      <w:r>
        <w:rPr>
          <w:sz w:val="28"/>
          <w:szCs w:val="28"/>
        </w:rPr>
        <w:t>61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_Toc12999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12.3 总量平衡途径</w:t>
      </w:r>
      <w:r>
        <w:rPr>
          <w:sz w:val="28"/>
          <w:szCs w:val="28"/>
        </w:rPr>
        <w:tab/>
      </w:r>
      <w:r>
        <w:rPr>
          <w:sz w:val="28"/>
          <w:szCs w:val="28"/>
        </w:rPr>
        <w:fldChar w:fldCharType="begin"/>
      </w:r>
      <w:r>
        <w:rPr>
          <w:sz w:val="28"/>
          <w:szCs w:val="28"/>
        </w:rPr>
        <w:instrText xml:space="preserve"> PAGEREF _Toc12999 </w:instrText>
      </w:r>
      <w:r>
        <w:rPr>
          <w:sz w:val="28"/>
          <w:szCs w:val="28"/>
        </w:rPr>
        <w:fldChar w:fldCharType="separate"/>
      </w:r>
      <w:r>
        <w:rPr>
          <w:sz w:val="28"/>
          <w:szCs w:val="28"/>
        </w:rPr>
        <w:t>61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第13章 环境管理及检测计划</w:t>
      </w:r>
      <w:r>
        <w:rPr>
          <w:sz w:val="28"/>
          <w:szCs w:val="28"/>
        </w:rPr>
        <w:tab/>
      </w:r>
      <w:r>
        <w:rPr>
          <w:sz w:val="28"/>
          <w:szCs w:val="28"/>
        </w:rPr>
        <w:fldChar w:fldCharType="begin"/>
      </w:r>
      <w:r>
        <w:rPr>
          <w:sz w:val="28"/>
          <w:szCs w:val="28"/>
        </w:rPr>
        <w:instrText xml:space="preserve"> PAGEREF _Toc18065 </w:instrText>
      </w:r>
      <w:r>
        <w:rPr>
          <w:sz w:val="28"/>
          <w:szCs w:val="28"/>
        </w:rPr>
        <w:fldChar w:fldCharType="separate"/>
      </w:r>
      <w:r>
        <w:rPr>
          <w:sz w:val="28"/>
          <w:szCs w:val="28"/>
        </w:rPr>
        <w:t>63</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_Toc29361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13.1 环境管理及环境监测制度现状调查</w:t>
      </w:r>
      <w:r>
        <w:rPr>
          <w:sz w:val="28"/>
          <w:szCs w:val="28"/>
        </w:rPr>
        <w:tab/>
      </w:r>
      <w:r>
        <w:rPr>
          <w:sz w:val="28"/>
          <w:szCs w:val="28"/>
        </w:rPr>
        <w:fldChar w:fldCharType="begin"/>
      </w:r>
      <w:r>
        <w:rPr>
          <w:sz w:val="28"/>
          <w:szCs w:val="28"/>
        </w:rPr>
        <w:instrText xml:space="preserve"> PAGEREF _Toc29361 </w:instrText>
      </w:r>
      <w:r>
        <w:rPr>
          <w:sz w:val="28"/>
          <w:szCs w:val="28"/>
        </w:rPr>
        <w:fldChar w:fldCharType="separate"/>
      </w:r>
      <w:r>
        <w:rPr>
          <w:sz w:val="28"/>
          <w:szCs w:val="28"/>
        </w:rPr>
        <w:t>63</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_Toc20936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13.2 存在的问题</w:t>
      </w:r>
      <w:r>
        <w:rPr>
          <w:sz w:val="28"/>
          <w:szCs w:val="28"/>
        </w:rPr>
        <w:tab/>
      </w:r>
      <w:r>
        <w:rPr>
          <w:sz w:val="28"/>
          <w:szCs w:val="28"/>
        </w:rPr>
        <w:fldChar w:fldCharType="begin"/>
      </w:r>
      <w:r>
        <w:rPr>
          <w:sz w:val="28"/>
          <w:szCs w:val="28"/>
        </w:rPr>
        <w:instrText xml:space="preserve"> PAGEREF _Toc20936 </w:instrText>
      </w:r>
      <w:r>
        <w:rPr>
          <w:sz w:val="28"/>
          <w:szCs w:val="28"/>
        </w:rPr>
        <w:fldChar w:fldCharType="separate"/>
      </w:r>
      <w:r>
        <w:rPr>
          <w:sz w:val="28"/>
          <w:szCs w:val="28"/>
        </w:rPr>
        <w:t>63</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_Toc31823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13.3 环境管理及环境监测制度改进措施</w:t>
      </w:r>
      <w:r>
        <w:rPr>
          <w:sz w:val="28"/>
          <w:szCs w:val="28"/>
        </w:rPr>
        <w:tab/>
      </w:r>
      <w:r>
        <w:rPr>
          <w:sz w:val="28"/>
          <w:szCs w:val="28"/>
        </w:rPr>
        <w:fldChar w:fldCharType="begin"/>
      </w:r>
      <w:r>
        <w:rPr>
          <w:sz w:val="28"/>
          <w:szCs w:val="28"/>
        </w:rPr>
        <w:instrText xml:space="preserve"> PAGEREF _Toc31823 </w:instrText>
      </w:r>
      <w:r>
        <w:rPr>
          <w:sz w:val="28"/>
          <w:szCs w:val="28"/>
        </w:rPr>
        <w:fldChar w:fldCharType="separate"/>
      </w:r>
      <w:r>
        <w:rPr>
          <w:sz w:val="28"/>
          <w:szCs w:val="28"/>
        </w:rPr>
        <w:t>63</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第14章   其它</w:t>
      </w:r>
      <w:r>
        <w:rPr>
          <w:sz w:val="28"/>
          <w:szCs w:val="28"/>
        </w:rPr>
        <w:tab/>
      </w:r>
      <w:r>
        <w:rPr>
          <w:sz w:val="28"/>
          <w:szCs w:val="28"/>
        </w:rPr>
        <w:fldChar w:fldCharType="begin"/>
      </w:r>
      <w:r>
        <w:rPr>
          <w:sz w:val="28"/>
          <w:szCs w:val="28"/>
        </w:rPr>
        <w:instrText xml:space="preserve"> PAGEREF _Toc3783 </w:instrText>
      </w:r>
      <w:r>
        <w:rPr>
          <w:sz w:val="28"/>
          <w:szCs w:val="28"/>
        </w:rPr>
        <w:fldChar w:fldCharType="separate"/>
      </w:r>
      <w:r>
        <w:rPr>
          <w:sz w:val="28"/>
          <w:szCs w:val="28"/>
        </w:rPr>
        <w:t>65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14.1厂址选择合理性分析及改进措施</w:t>
      </w:r>
      <w:r>
        <w:rPr>
          <w:sz w:val="28"/>
          <w:szCs w:val="28"/>
        </w:rPr>
        <w:tab/>
      </w:r>
      <w:r>
        <w:rPr>
          <w:sz w:val="28"/>
          <w:szCs w:val="28"/>
        </w:rPr>
        <w:fldChar w:fldCharType="begin"/>
      </w:r>
      <w:r>
        <w:rPr>
          <w:sz w:val="28"/>
          <w:szCs w:val="28"/>
        </w:rPr>
        <w:instrText xml:space="preserve"> PAGEREF _Toc9446 </w:instrText>
      </w:r>
      <w:r>
        <w:rPr>
          <w:sz w:val="28"/>
          <w:szCs w:val="28"/>
        </w:rPr>
        <w:fldChar w:fldCharType="separate"/>
      </w:r>
      <w:r>
        <w:rPr>
          <w:sz w:val="28"/>
          <w:szCs w:val="28"/>
        </w:rPr>
        <w:t>65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14.2国家产业政策相符性分析</w:t>
      </w:r>
      <w:r>
        <w:rPr>
          <w:sz w:val="28"/>
          <w:szCs w:val="28"/>
        </w:rPr>
        <w:tab/>
      </w:r>
      <w:r>
        <w:rPr>
          <w:sz w:val="28"/>
          <w:szCs w:val="28"/>
        </w:rPr>
        <w:fldChar w:fldCharType="begin"/>
      </w:r>
      <w:r>
        <w:rPr>
          <w:sz w:val="28"/>
          <w:szCs w:val="28"/>
        </w:rPr>
        <w:instrText xml:space="preserve"> PAGEREF _Toc11999 </w:instrText>
      </w:r>
      <w:r>
        <w:rPr>
          <w:sz w:val="28"/>
          <w:szCs w:val="28"/>
        </w:rPr>
        <w:fldChar w:fldCharType="separate"/>
      </w:r>
      <w:r>
        <w:rPr>
          <w:sz w:val="28"/>
          <w:szCs w:val="28"/>
        </w:rPr>
        <w:t>65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14.3生产工艺先进性分析</w:t>
      </w:r>
      <w:r>
        <w:rPr>
          <w:sz w:val="28"/>
          <w:szCs w:val="28"/>
        </w:rPr>
        <w:tab/>
      </w:r>
      <w:r>
        <w:rPr>
          <w:sz w:val="28"/>
          <w:szCs w:val="28"/>
        </w:rPr>
        <w:fldChar w:fldCharType="begin"/>
      </w:r>
      <w:r>
        <w:rPr>
          <w:sz w:val="28"/>
          <w:szCs w:val="28"/>
        </w:rPr>
        <w:instrText xml:space="preserve"> PAGEREF _Toc19745 </w:instrText>
      </w:r>
      <w:r>
        <w:rPr>
          <w:sz w:val="28"/>
          <w:szCs w:val="28"/>
        </w:rPr>
        <w:fldChar w:fldCharType="separate"/>
      </w:r>
      <w:r>
        <w:rPr>
          <w:sz w:val="28"/>
          <w:szCs w:val="28"/>
        </w:rPr>
        <w:t>65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_Toc6728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14.4项目所在地（各辖市、区）生态环境质量同比改善情况</w:t>
      </w:r>
      <w:r>
        <w:rPr>
          <w:sz w:val="28"/>
          <w:szCs w:val="28"/>
        </w:rPr>
        <w:tab/>
      </w:r>
      <w:r>
        <w:rPr>
          <w:sz w:val="28"/>
          <w:szCs w:val="28"/>
        </w:rPr>
        <w:fldChar w:fldCharType="begin"/>
      </w:r>
      <w:r>
        <w:rPr>
          <w:sz w:val="28"/>
          <w:szCs w:val="28"/>
        </w:rPr>
        <w:instrText xml:space="preserve"> PAGEREF _Toc6728 </w:instrText>
      </w:r>
      <w:r>
        <w:rPr>
          <w:sz w:val="28"/>
          <w:szCs w:val="28"/>
        </w:rPr>
        <w:fldChar w:fldCharType="separate"/>
      </w:r>
      <w:r>
        <w:rPr>
          <w:sz w:val="28"/>
          <w:szCs w:val="28"/>
        </w:rPr>
        <w:t>65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_Toc26050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14.5其它需要说明的情况</w:t>
      </w:r>
      <w:r>
        <w:rPr>
          <w:sz w:val="28"/>
          <w:szCs w:val="28"/>
        </w:rPr>
        <w:tab/>
      </w:r>
      <w:r>
        <w:rPr>
          <w:sz w:val="28"/>
          <w:szCs w:val="28"/>
        </w:rPr>
        <w:fldChar w:fldCharType="begin"/>
      </w:r>
      <w:r>
        <w:rPr>
          <w:sz w:val="28"/>
          <w:szCs w:val="28"/>
        </w:rPr>
        <w:instrText xml:space="preserve"> PAGEREF _Toc26050 </w:instrText>
      </w:r>
      <w:r>
        <w:rPr>
          <w:sz w:val="28"/>
          <w:szCs w:val="28"/>
        </w:rPr>
        <w:fldChar w:fldCharType="separate"/>
      </w:r>
      <w:r>
        <w:rPr>
          <w:sz w:val="28"/>
          <w:szCs w:val="28"/>
        </w:rPr>
        <w:t>66</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_Toc10870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
          <w:bCs/>
          <w:kern w:val="44"/>
          <w:sz w:val="28"/>
          <w:szCs w:val="28"/>
          <w:lang w:val="en-US" w:eastAsia="zh-CN" w:bidi="ar-SA"/>
        </w:rPr>
        <w:t>第15章   评估结论及改进措施</w:t>
      </w:r>
      <w:r>
        <w:rPr>
          <w:sz w:val="28"/>
          <w:szCs w:val="28"/>
        </w:rPr>
        <w:tab/>
      </w:r>
      <w:r>
        <w:rPr>
          <w:sz w:val="28"/>
          <w:szCs w:val="28"/>
        </w:rPr>
        <w:fldChar w:fldCharType="begin"/>
      </w:r>
      <w:r>
        <w:rPr>
          <w:sz w:val="28"/>
          <w:szCs w:val="28"/>
        </w:rPr>
        <w:instrText xml:space="preserve"> PAGEREF _Toc10870 </w:instrText>
      </w:r>
      <w:r>
        <w:rPr>
          <w:sz w:val="28"/>
          <w:szCs w:val="28"/>
        </w:rPr>
        <w:fldChar w:fldCharType="separate"/>
      </w:r>
      <w:r>
        <w:rPr>
          <w:sz w:val="28"/>
          <w:szCs w:val="28"/>
        </w:rPr>
        <w:t>67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_Toc26402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15.1评估结论</w:t>
      </w:r>
      <w:r>
        <w:rPr>
          <w:sz w:val="28"/>
          <w:szCs w:val="28"/>
        </w:rPr>
        <w:tab/>
      </w:r>
      <w:r>
        <w:rPr>
          <w:sz w:val="28"/>
          <w:szCs w:val="28"/>
        </w:rPr>
        <w:fldChar w:fldCharType="begin"/>
      </w:r>
      <w:r>
        <w:rPr>
          <w:sz w:val="28"/>
          <w:szCs w:val="28"/>
        </w:rPr>
        <w:instrText xml:space="preserve"> PAGEREF _Toc26402 </w:instrText>
      </w:r>
      <w:r>
        <w:rPr>
          <w:sz w:val="28"/>
          <w:szCs w:val="28"/>
        </w:rPr>
        <w:fldChar w:fldCharType="separate"/>
      </w:r>
      <w:r>
        <w:rPr>
          <w:sz w:val="28"/>
          <w:szCs w:val="28"/>
        </w:rPr>
        <w:t>67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tabs>
          <w:tab w:val="right" w:leader="dot" w:pos="8312"/>
          <w:tab w:val="clear" w:pos="829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_Toc20532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15.2改进措施</w:t>
      </w:r>
      <w:r>
        <w:rPr>
          <w:sz w:val="28"/>
          <w:szCs w:val="28"/>
        </w:rPr>
        <w:tab/>
      </w:r>
      <w:r>
        <w:rPr>
          <w:sz w:val="28"/>
          <w:szCs w:val="28"/>
        </w:rPr>
        <w:fldChar w:fldCharType="begin"/>
      </w:r>
      <w:r>
        <w:rPr>
          <w:sz w:val="28"/>
          <w:szCs w:val="28"/>
        </w:rPr>
        <w:instrText xml:space="preserve"> PAGEREF _Toc20532 </w:instrText>
      </w:r>
      <w:r>
        <w:rPr>
          <w:sz w:val="28"/>
          <w:szCs w:val="28"/>
        </w:rPr>
        <w:fldChar w:fldCharType="separate"/>
      </w:r>
      <w:r>
        <w:rPr>
          <w:sz w:val="28"/>
          <w:szCs w:val="28"/>
        </w:rPr>
        <w:t>67</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4"/>
        <w:rPr>
          <w:rStyle w:val="19"/>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end"/>
      </w:r>
    </w:p>
    <w:p>
      <w:pPr>
        <w:pStyle w:val="14"/>
        <w:rPr>
          <w:rStyle w:val="19"/>
          <w:rFonts w:hint="eastAsia" w:asciiTheme="minorEastAsia" w:hAnsiTheme="minorEastAsia" w:eastAsiaTheme="minorEastAsia" w:cstheme="minorEastAsia"/>
          <w:b/>
          <w:sz w:val="28"/>
          <w:szCs w:val="28"/>
        </w:rPr>
        <w:sectPr>
          <w:headerReference r:id="rId4"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pStyle w:val="14"/>
        <w:rPr>
          <w:rStyle w:val="19"/>
          <w:rFonts w:hint="eastAsia" w:asciiTheme="minorEastAsia" w:hAnsiTheme="minorEastAsia" w:eastAsiaTheme="minorEastAsia" w:cstheme="minorEastAsia"/>
          <w:b/>
          <w:color w:val="auto"/>
          <w:sz w:val="28"/>
          <w:szCs w:val="28"/>
          <w:u w:val="none"/>
        </w:rPr>
      </w:pPr>
      <w:r>
        <w:rPr>
          <w:rStyle w:val="19"/>
          <w:rFonts w:hint="eastAsia" w:asciiTheme="minorEastAsia" w:hAnsiTheme="minorEastAsia" w:eastAsiaTheme="minorEastAsia" w:cstheme="minorEastAsia"/>
          <w:b/>
          <w:color w:val="auto"/>
          <w:sz w:val="28"/>
          <w:szCs w:val="28"/>
          <w:u w:val="none"/>
        </w:rPr>
        <w:t>附图：</w:t>
      </w:r>
    </w:p>
    <w:p>
      <w:pPr>
        <w:pStyle w:val="14"/>
        <w:ind w:firstLine="560" w:firstLineChars="200"/>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附图1：建设项目地理位置图</w:t>
      </w:r>
    </w:p>
    <w:p>
      <w:pPr>
        <w:pStyle w:val="14"/>
        <w:ind w:firstLine="560" w:firstLineChars="200"/>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附图2：建设项目周围环境图</w:t>
      </w:r>
    </w:p>
    <w:p>
      <w:pPr>
        <w:pStyle w:val="14"/>
        <w:ind w:firstLine="560" w:firstLineChars="200"/>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附图3：建设项目总平面布置图</w:t>
      </w:r>
    </w:p>
    <w:p>
      <w:pPr>
        <w:pStyle w:val="14"/>
        <w:ind w:firstLine="560" w:firstLineChars="200"/>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w:t>
      </w:r>
      <w:r>
        <w:rPr>
          <w:rStyle w:val="19"/>
          <w:rFonts w:hint="eastAsia" w:asciiTheme="minorEastAsia" w:hAnsiTheme="minorEastAsia" w:eastAsiaTheme="minorEastAsia" w:cstheme="minorEastAsia"/>
          <w:color w:val="auto"/>
          <w:sz w:val="28"/>
          <w:szCs w:val="28"/>
          <w:u w:val="none"/>
          <w:lang w:val="en-US" w:eastAsia="zh-CN"/>
        </w:rPr>
        <w:t>4:</w:t>
      </w:r>
      <w:r>
        <w:rPr>
          <w:rStyle w:val="19"/>
          <w:rFonts w:hint="eastAsia" w:asciiTheme="minorEastAsia" w:hAnsiTheme="minorEastAsia" w:eastAsiaTheme="minorEastAsia" w:cstheme="minorEastAsia"/>
          <w:color w:val="auto"/>
          <w:sz w:val="28"/>
          <w:szCs w:val="28"/>
          <w:u w:val="none"/>
        </w:rPr>
        <w:t xml:space="preserve"> 丹阳市生态红线区与本项目关系图</w:t>
      </w:r>
    </w:p>
    <w:p>
      <w:pPr>
        <w:pStyle w:val="14"/>
        <w:ind w:firstLine="560" w:firstLineChars="200"/>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w:t>
      </w:r>
      <w:r>
        <w:rPr>
          <w:rStyle w:val="19"/>
          <w:rFonts w:hint="eastAsia" w:asciiTheme="minorEastAsia" w:hAnsiTheme="minorEastAsia" w:eastAsiaTheme="minorEastAsia" w:cstheme="minorEastAsia"/>
          <w:color w:val="auto"/>
          <w:sz w:val="28"/>
          <w:szCs w:val="28"/>
          <w:u w:val="none"/>
          <w:lang w:val="en-US" w:eastAsia="zh-CN"/>
        </w:rPr>
        <w:t>5: 建设项目区域水系分布图</w:t>
      </w:r>
    </w:p>
    <w:p>
      <w:pPr>
        <w:pStyle w:val="14"/>
        <w:ind w:firstLine="560" w:firstLineChars="200"/>
        <w:rPr>
          <w:rStyle w:val="19"/>
          <w:rFonts w:hint="eastAsia" w:asciiTheme="minorEastAsia" w:hAnsiTheme="minorEastAsia" w:eastAsiaTheme="minorEastAsia" w:cstheme="minorEastAsia"/>
          <w:color w:val="auto"/>
          <w:sz w:val="28"/>
          <w:szCs w:val="28"/>
        </w:rPr>
      </w:pPr>
    </w:p>
    <w:bookmarkEnd w:id="0"/>
    <w:p>
      <w:pPr>
        <w:pStyle w:val="29"/>
        <w:spacing w:before="120" w:after="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bookmarkStart w:id="1" w:name="_Toc14518"/>
      <w:r>
        <w:rPr>
          <w:rFonts w:hint="eastAsia" w:asciiTheme="minorEastAsia" w:hAnsiTheme="minorEastAsia" w:eastAsiaTheme="minorEastAsia" w:cstheme="minorEastAsia"/>
        </w:rPr>
        <w:t>第1章 总论</w:t>
      </w:r>
      <w:bookmarkEnd w:id="1"/>
    </w:p>
    <w:p>
      <w:pPr>
        <w:pStyle w:val="30"/>
        <w:spacing w:before="120" w:after="120"/>
        <w:rPr>
          <w:rFonts w:hint="eastAsia" w:asciiTheme="minorEastAsia" w:hAnsiTheme="minorEastAsia" w:eastAsiaTheme="minorEastAsia" w:cstheme="minorEastAsia"/>
          <w:szCs w:val="30"/>
        </w:rPr>
      </w:pPr>
      <w:bookmarkStart w:id="2" w:name="_Toc18635"/>
      <w:r>
        <w:rPr>
          <w:rFonts w:hint="eastAsia" w:asciiTheme="minorEastAsia" w:hAnsiTheme="minorEastAsia" w:eastAsiaTheme="minorEastAsia" w:cstheme="minorEastAsia"/>
          <w:szCs w:val="30"/>
        </w:rPr>
        <w:t>1.1编制依据</w:t>
      </w:r>
      <w:bookmarkEnd w:id="2"/>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1.1.1项目背景</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大亚人造板集团有限公司位于丹阳市经济开发区大亚木业园，成立于2002年3月，公司注册资本2300万美元。公司类型为有限责任公司（中外合资）。公司股东为大亚科技股份有限公司和晟瑞国际发展有限公司，其中：大亚科技股份有限公司占75%股份（控股方），晟瑞国际发展有限公司占25%股份。公司主要生产销售中、高密度人造板。2009年11月大亚人造板集团有限公司就“年产1000万m</w:t>
      </w:r>
      <w:r>
        <w:rPr>
          <w:rFonts w:hint="eastAsia" w:asciiTheme="minorEastAsia" w:hAnsiTheme="minorEastAsia" w:eastAsiaTheme="minorEastAsia" w:cstheme="minorEastAsia"/>
          <w:kern w:val="0"/>
          <w:sz w:val="28"/>
          <w:szCs w:val="28"/>
          <w:vertAlign w:val="superscript"/>
        </w:rPr>
        <w:t>2</w:t>
      </w:r>
      <w:r>
        <w:rPr>
          <w:rFonts w:hint="eastAsia" w:asciiTheme="minorEastAsia" w:hAnsiTheme="minorEastAsia" w:eastAsiaTheme="minorEastAsia" w:cstheme="minorEastAsia"/>
          <w:kern w:val="0"/>
          <w:sz w:val="28"/>
          <w:szCs w:val="28"/>
        </w:rPr>
        <w:t>强化地板扩能项目”委托丹阳市环境保护科技咨询服务中心编制了环评报告表，2009年12月1日通过丹阳市环保局审批（丹环[2009]151号）。目前该公司新增污水处理站、胶水配料储罐等设施，污水处理方式以及废物处置等与原环评有所区别，且已投产营运，但该项目一直未办理环保手续。</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根据《关于全面清理整治环境保护违法违规建设项目的通知》（苏 环委办[2015]26 号）和《丹阳市清理整治环保违法违规建设项目工作方案》（丹政办发[2016]82 号）文件要求，对于已取得环境影响批复的项目，发生重大变化的，应按照“登记一批”的要求，开展自查评估。为此，丹阳市大亚人造板集团有限公司委托</w:t>
      </w:r>
      <w:r>
        <w:rPr>
          <w:rFonts w:hint="eastAsia" w:asciiTheme="minorEastAsia" w:hAnsiTheme="minorEastAsia" w:eastAsiaTheme="minorEastAsia" w:cstheme="minorEastAsia"/>
          <w:kern w:val="0"/>
          <w:sz w:val="28"/>
          <w:szCs w:val="28"/>
          <w:highlight w:val="none"/>
          <w:lang w:val="en-US" w:eastAsia="zh-CN"/>
        </w:rPr>
        <w:t>南京赛特环境工程有限公司</w:t>
      </w:r>
      <w:r>
        <w:rPr>
          <w:rFonts w:hint="eastAsia" w:asciiTheme="minorEastAsia" w:hAnsiTheme="minorEastAsia" w:eastAsiaTheme="minorEastAsia" w:cstheme="minorEastAsia"/>
          <w:kern w:val="0"/>
          <w:sz w:val="28"/>
          <w:szCs w:val="28"/>
        </w:rPr>
        <w:t>开展本次自查评估，我公司接受委托后，认真研究了该项目的有关资料，并进行实地踏勘、调研，收集和核实了有关资料，编制了环保自查评估报告，作为企业日后验收和监管依据。</w:t>
      </w:r>
    </w:p>
    <w:p>
      <w:pPr>
        <w:pStyle w:val="32"/>
        <w:spacing w:before="120" w:after="120"/>
        <w:rPr>
          <w:rFonts w:hint="eastAsia" w:asciiTheme="minorEastAsia" w:hAnsiTheme="minorEastAsia" w:eastAsiaTheme="minorEastAsia" w:cstheme="minorEastAsia"/>
        </w:rPr>
      </w:pPr>
      <w:bookmarkStart w:id="3" w:name="_Toc161040545"/>
      <w:bookmarkStart w:id="4" w:name="_Toc146436330"/>
      <w:bookmarkStart w:id="5" w:name="_Toc224440807"/>
      <w:r>
        <w:rPr>
          <w:rFonts w:hint="eastAsia" w:asciiTheme="minorEastAsia" w:hAnsiTheme="minorEastAsia" w:eastAsiaTheme="minorEastAsia" w:cstheme="minorEastAsia"/>
        </w:rPr>
        <w:t>1.1.</w:t>
      </w:r>
      <w:bookmarkEnd w:id="3"/>
      <w:r>
        <w:rPr>
          <w:rFonts w:hint="eastAsia" w:asciiTheme="minorEastAsia" w:hAnsiTheme="minorEastAsia" w:eastAsiaTheme="minorEastAsia" w:cstheme="minorEastAsia"/>
        </w:rPr>
        <w:t>2法律法规及规范性文件</w:t>
      </w:r>
    </w:p>
    <w:p>
      <w:pPr>
        <w:spacing w:line="360" w:lineRule="auto"/>
        <w:ind w:firstLine="560" w:firstLineChars="200"/>
        <w:rPr>
          <w:sz w:val="28"/>
          <w:szCs w:val="28"/>
        </w:rPr>
      </w:pPr>
      <w:bookmarkStart w:id="6" w:name="_Toc224440796"/>
      <w:bookmarkStart w:id="7" w:name="_Toc161040547"/>
      <w:r>
        <w:rPr>
          <w:sz w:val="28"/>
          <w:szCs w:val="28"/>
        </w:rPr>
        <w:t>(1)</w:t>
      </w:r>
      <w:r>
        <w:rPr>
          <w:rFonts w:hAnsi="宋体"/>
          <w:sz w:val="28"/>
          <w:szCs w:val="28"/>
        </w:rPr>
        <w:t>《中华人民共和国环境保护法》（</w:t>
      </w:r>
      <w:r>
        <w:rPr>
          <w:sz w:val="28"/>
          <w:szCs w:val="28"/>
        </w:rPr>
        <w:t>2014</w:t>
      </w:r>
      <w:r>
        <w:rPr>
          <w:rFonts w:hAnsi="宋体"/>
          <w:sz w:val="28"/>
          <w:szCs w:val="28"/>
        </w:rPr>
        <w:t>年</w:t>
      </w:r>
      <w:r>
        <w:rPr>
          <w:sz w:val="28"/>
          <w:szCs w:val="28"/>
        </w:rPr>
        <w:t>4</w:t>
      </w:r>
      <w:r>
        <w:rPr>
          <w:rFonts w:hAnsi="宋体"/>
          <w:sz w:val="28"/>
          <w:szCs w:val="28"/>
        </w:rPr>
        <w:t>月</w:t>
      </w:r>
      <w:r>
        <w:rPr>
          <w:sz w:val="28"/>
          <w:szCs w:val="28"/>
        </w:rPr>
        <w:t>24</w:t>
      </w:r>
      <w:r>
        <w:rPr>
          <w:rFonts w:hAnsi="宋体"/>
          <w:sz w:val="28"/>
          <w:szCs w:val="28"/>
        </w:rPr>
        <w:t>日修订）；</w:t>
      </w:r>
      <w:bookmarkEnd w:id="6"/>
    </w:p>
    <w:p>
      <w:pPr>
        <w:tabs>
          <w:tab w:val="left" w:pos="1080"/>
        </w:tabs>
        <w:spacing w:line="360" w:lineRule="auto"/>
        <w:ind w:firstLine="560" w:firstLineChars="200"/>
        <w:rPr>
          <w:sz w:val="28"/>
          <w:szCs w:val="28"/>
        </w:rPr>
      </w:pPr>
      <w:r>
        <w:rPr>
          <w:sz w:val="28"/>
          <w:szCs w:val="28"/>
        </w:rPr>
        <w:t>(2)</w:t>
      </w:r>
      <w:r>
        <w:rPr>
          <w:rFonts w:hAnsi="宋体"/>
          <w:sz w:val="28"/>
          <w:szCs w:val="28"/>
        </w:rPr>
        <w:t>《中华人民共和国大气污染防治法》</w:t>
      </w:r>
      <w:r>
        <w:rPr>
          <w:sz w:val="28"/>
          <w:szCs w:val="28"/>
        </w:rPr>
        <w:t>(</w:t>
      </w:r>
      <w:r>
        <w:rPr>
          <w:kern w:val="0"/>
          <w:sz w:val="28"/>
          <w:szCs w:val="28"/>
        </w:rPr>
        <w:t>2015</w:t>
      </w:r>
      <w:r>
        <w:rPr>
          <w:rFonts w:hAnsi="宋体"/>
          <w:kern w:val="0"/>
          <w:sz w:val="28"/>
          <w:szCs w:val="28"/>
        </w:rPr>
        <w:t>年</w:t>
      </w:r>
      <w:r>
        <w:rPr>
          <w:kern w:val="0"/>
          <w:sz w:val="28"/>
          <w:szCs w:val="28"/>
        </w:rPr>
        <w:t>8</w:t>
      </w:r>
      <w:r>
        <w:rPr>
          <w:rFonts w:hAnsi="宋体"/>
          <w:kern w:val="0"/>
          <w:sz w:val="28"/>
          <w:szCs w:val="28"/>
        </w:rPr>
        <w:t>月</w:t>
      </w:r>
      <w:r>
        <w:rPr>
          <w:kern w:val="0"/>
          <w:sz w:val="28"/>
          <w:szCs w:val="28"/>
        </w:rPr>
        <w:t>29</w:t>
      </w:r>
      <w:r>
        <w:rPr>
          <w:rFonts w:hAnsi="宋体"/>
          <w:kern w:val="0"/>
          <w:sz w:val="28"/>
          <w:szCs w:val="28"/>
        </w:rPr>
        <w:t>日</w:t>
      </w:r>
      <w:r>
        <w:rPr>
          <w:kern w:val="0"/>
          <w:sz w:val="28"/>
          <w:szCs w:val="28"/>
        </w:rPr>
        <w:t xml:space="preserve"> </w:t>
      </w:r>
      <w:r>
        <w:rPr>
          <w:rFonts w:hAnsi="宋体"/>
          <w:kern w:val="0"/>
          <w:sz w:val="28"/>
          <w:szCs w:val="28"/>
        </w:rPr>
        <w:t>修订</w:t>
      </w:r>
      <w:r>
        <w:rPr>
          <w:kern w:val="0"/>
          <w:sz w:val="28"/>
          <w:szCs w:val="28"/>
        </w:rPr>
        <w:t>)</w:t>
      </w:r>
      <w:r>
        <w:rPr>
          <w:rFonts w:hAnsi="宋体"/>
          <w:sz w:val="28"/>
          <w:szCs w:val="28"/>
        </w:rPr>
        <w:t>；</w:t>
      </w:r>
    </w:p>
    <w:p>
      <w:pPr>
        <w:tabs>
          <w:tab w:val="left" w:pos="1080"/>
        </w:tabs>
        <w:spacing w:line="360" w:lineRule="auto"/>
        <w:ind w:firstLine="560" w:firstLineChars="200"/>
        <w:rPr>
          <w:sz w:val="28"/>
          <w:szCs w:val="28"/>
        </w:rPr>
      </w:pPr>
      <w:r>
        <w:rPr>
          <w:sz w:val="28"/>
          <w:szCs w:val="28"/>
        </w:rPr>
        <w:t>(3)</w:t>
      </w:r>
      <w:r>
        <w:rPr>
          <w:rFonts w:hAnsi="宋体"/>
          <w:sz w:val="28"/>
          <w:szCs w:val="28"/>
        </w:rPr>
        <w:t>《中华人民共和国水污染防治法》</w:t>
      </w:r>
      <w:r>
        <w:rPr>
          <w:sz w:val="28"/>
          <w:szCs w:val="28"/>
        </w:rPr>
        <w:t>(2008</w:t>
      </w:r>
      <w:r>
        <w:rPr>
          <w:rFonts w:hAnsi="宋体"/>
          <w:sz w:val="28"/>
          <w:szCs w:val="28"/>
        </w:rPr>
        <w:t>年</w:t>
      </w:r>
      <w:r>
        <w:rPr>
          <w:sz w:val="28"/>
          <w:szCs w:val="28"/>
        </w:rPr>
        <w:t>6</w:t>
      </w:r>
      <w:r>
        <w:rPr>
          <w:rFonts w:hAnsi="宋体"/>
          <w:sz w:val="28"/>
          <w:szCs w:val="28"/>
        </w:rPr>
        <w:t>月</w:t>
      </w:r>
      <w:r>
        <w:rPr>
          <w:sz w:val="28"/>
          <w:szCs w:val="28"/>
        </w:rPr>
        <w:t>1</w:t>
      </w:r>
      <w:r>
        <w:rPr>
          <w:rFonts w:hAnsi="宋体"/>
          <w:sz w:val="28"/>
          <w:szCs w:val="28"/>
        </w:rPr>
        <w:t>日</w:t>
      </w:r>
      <w:r>
        <w:rPr>
          <w:sz w:val="28"/>
          <w:szCs w:val="28"/>
        </w:rPr>
        <w:t>)</w:t>
      </w:r>
      <w:r>
        <w:rPr>
          <w:rFonts w:hAnsi="宋体"/>
          <w:sz w:val="28"/>
          <w:szCs w:val="28"/>
        </w:rPr>
        <w:t>；</w:t>
      </w:r>
      <w:bookmarkStart w:id="8" w:name="_Toc224440797"/>
    </w:p>
    <w:bookmarkEnd w:id="8"/>
    <w:p>
      <w:pPr>
        <w:tabs>
          <w:tab w:val="left" w:pos="1080"/>
        </w:tabs>
        <w:spacing w:line="360" w:lineRule="auto"/>
        <w:ind w:firstLine="560" w:firstLineChars="200"/>
        <w:rPr>
          <w:sz w:val="28"/>
          <w:szCs w:val="28"/>
        </w:rPr>
      </w:pPr>
      <w:r>
        <w:rPr>
          <w:sz w:val="28"/>
          <w:szCs w:val="28"/>
        </w:rPr>
        <w:t>(4)</w:t>
      </w:r>
      <w:r>
        <w:rPr>
          <w:rFonts w:hAnsi="宋体"/>
          <w:sz w:val="28"/>
          <w:szCs w:val="28"/>
        </w:rPr>
        <w:t>《中华人民共和国环境噪声污染防治法》</w:t>
      </w:r>
      <w:r>
        <w:rPr>
          <w:sz w:val="28"/>
          <w:szCs w:val="28"/>
        </w:rPr>
        <w:t>(1996</w:t>
      </w:r>
      <w:r>
        <w:rPr>
          <w:rFonts w:hAnsi="宋体"/>
          <w:sz w:val="28"/>
          <w:szCs w:val="28"/>
        </w:rPr>
        <w:t>年</w:t>
      </w:r>
      <w:r>
        <w:rPr>
          <w:sz w:val="28"/>
          <w:szCs w:val="28"/>
        </w:rPr>
        <w:t>10</w:t>
      </w:r>
      <w:r>
        <w:rPr>
          <w:rFonts w:hAnsi="宋体"/>
          <w:sz w:val="28"/>
          <w:szCs w:val="28"/>
        </w:rPr>
        <w:t>月</w:t>
      </w:r>
      <w:r>
        <w:rPr>
          <w:sz w:val="28"/>
          <w:szCs w:val="28"/>
        </w:rPr>
        <w:t>29</w:t>
      </w:r>
      <w:r>
        <w:rPr>
          <w:rFonts w:hAnsi="宋体"/>
          <w:sz w:val="28"/>
          <w:szCs w:val="28"/>
        </w:rPr>
        <w:t>日</w:t>
      </w:r>
      <w:r>
        <w:rPr>
          <w:sz w:val="28"/>
          <w:szCs w:val="28"/>
        </w:rPr>
        <w:t>)</w:t>
      </w:r>
      <w:r>
        <w:rPr>
          <w:rFonts w:hAnsi="宋体"/>
          <w:sz w:val="28"/>
          <w:szCs w:val="28"/>
        </w:rPr>
        <w:t>；</w:t>
      </w:r>
    </w:p>
    <w:p>
      <w:pPr>
        <w:tabs>
          <w:tab w:val="left" w:pos="1080"/>
        </w:tabs>
        <w:spacing w:line="360" w:lineRule="auto"/>
        <w:ind w:firstLine="560" w:firstLineChars="200"/>
        <w:rPr>
          <w:sz w:val="28"/>
          <w:szCs w:val="28"/>
        </w:rPr>
      </w:pPr>
      <w:r>
        <w:rPr>
          <w:sz w:val="28"/>
          <w:szCs w:val="28"/>
        </w:rPr>
        <w:t>(5)</w:t>
      </w:r>
      <w:r>
        <w:rPr>
          <w:rFonts w:hAnsi="宋体"/>
          <w:sz w:val="28"/>
          <w:szCs w:val="28"/>
        </w:rPr>
        <w:t>《中华人民共和国固体废物污染环境防治法》</w:t>
      </w:r>
      <w:r>
        <w:rPr>
          <w:sz w:val="28"/>
          <w:szCs w:val="28"/>
        </w:rPr>
        <w:t>(</w:t>
      </w:r>
      <w:r>
        <w:rPr>
          <w:kern w:val="0"/>
          <w:sz w:val="28"/>
          <w:szCs w:val="28"/>
        </w:rPr>
        <w:t>2015</w:t>
      </w:r>
      <w:r>
        <w:rPr>
          <w:rFonts w:hAnsi="宋体"/>
          <w:kern w:val="0"/>
          <w:sz w:val="28"/>
          <w:szCs w:val="28"/>
        </w:rPr>
        <w:t>年</w:t>
      </w:r>
      <w:r>
        <w:rPr>
          <w:kern w:val="0"/>
          <w:sz w:val="28"/>
          <w:szCs w:val="28"/>
        </w:rPr>
        <w:t>4</w:t>
      </w:r>
      <w:r>
        <w:rPr>
          <w:rFonts w:hAnsi="宋体"/>
          <w:kern w:val="0"/>
          <w:sz w:val="28"/>
          <w:szCs w:val="28"/>
        </w:rPr>
        <w:t>月</w:t>
      </w:r>
      <w:r>
        <w:rPr>
          <w:kern w:val="0"/>
          <w:sz w:val="28"/>
          <w:szCs w:val="28"/>
        </w:rPr>
        <w:t>24</w:t>
      </w:r>
      <w:r>
        <w:rPr>
          <w:rFonts w:hAnsi="宋体"/>
          <w:kern w:val="0"/>
          <w:sz w:val="28"/>
          <w:szCs w:val="28"/>
        </w:rPr>
        <w:t>日</w:t>
      </w:r>
      <w:r>
        <w:rPr>
          <w:kern w:val="0"/>
          <w:sz w:val="28"/>
          <w:szCs w:val="28"/>
        </w:rPr>
        <w:t>)</w:t>
      </w:r>
      <w:r>
        <w:rPr>
          <w:rFonts w:hAnsi="宋体"/>
          <w:sz w:val="28"/>
          <w:szCs w:val="28"/>
        </w:rPr>
        <w:t>；</w:t>
      </w:r>
    </w:p>
    <w:p>
      <w:pPr>
        <w:tabs>
          <w:tab w:val="left" w:pos="1080"/>
        </w:tabs>
        <w:spacing w:line="360" w:lineRule="auto"/>
        <w:ind w:firstLine="560" w:firstLineChars="200"/>
        <w:rPr>
          <w:rFonts w:hint="eastAsia" w:hAnsi="宋体"/>
          <w:sz w:val="28"/>
          <w:szCs w:val="28"/>
        </w:rPr>
      </w:pPr>
      <w:bookmarkStart w:id="9" w:name="_Toc224440799"/>
      <w:r>
        <w:rPr>
          <w:sz w:val="28"/>
          <w:szCs w:val="28"/>
        </w:rPr>
        <w:t>(6)</w:t>
      </w:r>
      <w:r>
        <w:rPr>
          <w:rFonts w:hAnsi="宋体"/>
          <w:sz w:val="28"/>
          <w:szCs w:val="28"/>
        </w:rPr>
        <w:t>《中华人民共和国环境影响评价法》</w:t>
      </w:r>
      <w:r>
        <w:rPr>
          <w:sz w:val="28"/>
          <w:szCs w:val="28"/>
        </w:rPr>
        <w:t>(20</w:t>
      </w:r>
      <w:r>
        <w:rPr>
          <w:rFonts w:hint="eastAsia"/>
          <w:sz w:val="28"/>
          <w:szCs w:val="28"/>
        </w:rPr>
        <w:t>16</w:t>
      </w:r>
      <w:r>
        <w:rPr>
          <w:rFonts w:hAnsi="宋体"/>
          <w:sz w:val="28"/>
          <w:szCs w:val="28"/>
        </w:rPr>
        <w:t>年</w:t>
      </w:r>
      <w:r>
        <w:rPr>
          <w:rFonts w:hint="eastAsia"/>
          <w:sz w:val="28"/>
          <w:szCs w:val="28"/>
        </w:rPr>
        <w:t>修订</w:t>
      </w:r>
      <w:r>
        <w:rPr>
          <w:sz w:val="28"/>
          <w:szCs w:val="28"/>
        </w:rPr>
        <w:t>)</w:t>
      </w:r>
      <w:r>
        <w:rPr>
          <w:rFonts w:hAnsi="宋体"/>
          <w:sz w:val="28"/>
          <w:szCs w:val="28"/>
        </w:rPr>
        <w:t>；</w:t>
      </w:r>
    </w:p>
    <w:p>
      <w:pPr>
        <w:tabs>
          <w:tab w:val="left" w:pos="1080"/>
        </w:tabs>
        <w:spacing w:line="360" w:lineRule="auto"/>
        <w:ind w:firstLine="560" w:firstLineChars="200"/>
        <w:rPr>
          <w:sz w:val="28"/>
          <w:szCs w:val="28"/>
        </w:rPr>
      </w:pPr>
      <w:r>
        <w:rPr>
          <w:sz w:val="28"/>
          <w:szCs w:val="28"/>
        </w:rPr>
        <w:t>(7)</w:t>
      </w:r>
      <w:r>
        <w:rPr>
          <w:rFonts w:hAnsi="宋体"/>
          <w:sz w:val="28"/>
          <w:szCs w:val="28"/>
        </w:rPr>
        <w:t>《国家危险废物名录》（</w:t>
      </w:r>
      <w:r>
        <w:rPr>
          <w:sz w:val="28"/>
          <w:szCs w:val="28"/>
        </w:rPr>
        <w:t>2016</w:t>
      </w:r>
      <w:r>
        <w:rPr>
          <w:rFonts w:hAnsi="宋体"/>
          <w:sz w:val="28"/>
          <w:szCs w:val="28"/>
        </w:rPr>
        <w:t>年），国家环境保护部、国家发展和改革委员会，</w:t>
      </w:r>
      <w:r>
        <w:rPr>
          <w:sz w:val="28"/>
          <w:szCs w:val="28"/>
        </w:rPr>
        <w:t>2016</w:t>
      </w:r>
      <w:r>
        <w:rPr>
          <w:rFonts w:hAnsi="宋体"/>
          <w:sz w:val="28"/>
          <w:szCs w:val="28"/>
        </w:rPr>
        <w:t>年</w:t>
      </w:r>
      <w:r>
        <w:rPr>
          <w:sz w:val="28"/>
          <w:szCs w:val="28"/>
        </w:rPr>
        <w:t>8</w:t>
      </w:r>
      <w:r>
        <w:rPr>
          <w:rFonts w:hAnsi="宋体"/>
          <w:sz w:val="28"/>
          <w:szCs w:val="28"/>
        </w:rPr>
        <w:t>月</w:t>
      </w:r>
      <w:r>
        <w:rPr>
          <w:sz w:val="28"/>
          <w:szCs w:val="28"/>
        </w:rPr>
        <w:t>1</w:t>
      </w:r>
      <w:r>
        <w:rPr>
          <w:rFonts w:hAnsi="宋体"/>
          <w:sz w:val="28"/>
          <w:szCs w:val="28"/>
        </w:rPr>
        <w:t>日起施行；</w:t>
      </w:r>
      <w:bookmarkEnd w:id="9"/>
    </w:p>
    <w:p>
      <w:pPr>
        <w:tabs>
          <w:tab w:val="left" w:pos="900"/>
        </w:tabs>
        <w:spacing w:line="360" w:lineRule="auto"/>
        <w:ind w:firstLine="560" w:firstLineChars="200"/>
        <w:rPr>
          <w:sz w:val="28"/>
          <w:szCs w:val="28"/>
        </w:rPr>
      </w:pPr>
      <w:r>
        <w:rPr>
          <w:sz w:val="28"/>
          <w:szCs w:val="28"/>
        </w:rPr>
        <w:t>(8)</w:t>
      </w:r>
      <w:r>
        <w:rPr>
          <w:rFonts w:hAnsi="宋体"/>
          <w:sz w:val="28"/>
          <w:szCs w:val="28"/>
        </w:rPr>
        <w:t>《产业结构调整指导目录（</w:t>
      </w:r>
      <w:r>
        <w:rPr>
          <w:sz w:val="28"/>
          <w:szCs w:val="28"/>
        </w:rPr>
        <w:t>2011</w:t>
      </w:r>
      <w:r>
        <w:rPr>
          <w:rFonts w:hAnsi="宋体"/>
          <w:sz w:val="28"/>
          <w:szCs w:val="28"/>
        </w:rPr>
        <w:t>年本）》（根据</w:t>
      </w:r>
      <w:r>
        <w:rPr>
          <w:sz w:val="28"/>
          <w:szCs w:val="28"/>
        </w:rPr>
        <w:t>2013</w:t>
      </w:r>
      <w:r>
        <w:rPr>
          <w:rFonts w:hAnsi="宋体"/>
          <w:sz w:val="28"/>
          <w:szCs w:val="28"/>
        </w:rPr>
        <w:t>年</w:t>
      </w:r>
      <w:r>
        <w:rPr>
          <w:sz w:val="28"/>
          <w:szCs w:val="28"/>
        </w:rPr>
        <w:t>2</w:t>
      </w:r>
      <w:r>
        <w:rPr>
          <w:rFonts w:hAnsi="宋体"/>
          <w:sz w:val="28"/>
          <w:szCs w:val="28"/>
        </w:rPr>
        <w:t>月</w:t>
      </w:r>
      <w:r>
        <w:rPr>
          <w:sz w:val="28"/>
          <w:szCs w:val="28"/>
        </w:rPr>
        <w:t>16</w:t>
      </w:r>
      <w:r>
        <w:rPr>
          <w:rFonts w:hAnsi="宋体"/>
          <w:sz w:val="28"/>
          <w:szCs w:val="28"/>
        </w:rPr>
        <w:t>日国家发展改革委第</w:t>
      </w:r>
      <w:r>
        <w:rPr>
          <w:sz w:val="28"/>
          <w:szCs w:val="28"/>
        </w:rPr>
        <w:t>21</w:t>
      </w:r>
      <w:r>
        <w:rPr>
          <w:rFonts w:hAnsi="宋体"/>
          <w:sz w:val="28"/>
          <w:szCs w:val="28"/>
        </w:rPr>
        <w:t>号令公布的《国家发展改革委关于修改</w:t>
      </w:r>
      <w:r>
        <w:rPr>
          <w:sz w:val="28"/>
          <w:szCs w:val="28"/>
        </w:rPr>
        <w:t>&lt;</w:t>
      </w:r>
      <w:r>
        <w:rPr>
          <w:rFonts w:hAnsi="宋体"/>
          <w:sz w:val="28"/>
          <w:szCs w:val="28"/>
        </w:rPr>
        <w:t>产业结构调整指导目录（</w:t>
      </w:r>
      <w:r>
        <w:rPr>
          <w:sz w:val="28"/>
          <w:szCs w:val="28"/>
        </w:rPr>
        <w:t>2011</w:t>
      </w:r>
      <w:r>
        <w:rPr>
          <w:rFonts w:hAnsi="宋体"/>
          <w:sz w:val="28"/>
          <w:szCs w:val="28"/>
        </w:rPr>
        <w:t>年本）</w:t>
      </w:r>
      <w:r>
        <w:rPr>
          <w:sz w:val="28"/>
          <w:szCs w:val="28"/>
        </w:rPr>
        <w:t>&gt;</w:t>
      </w:r>
      <w:r>
        <w:rPr>
          <w:rFonts w:hAnsi="宋体"/>
          <w:sz w:val="28"/>
          <w:szCs w:val="28"/>
        </w:rPr>
        <w:t>有关条款的的决定》修正），国家发展和改革委员会令第</w:t>
      </w:r>
      <w:r>
        <w:rPr>
          <w:sz w:val="28"/>
          <w:szCs w:val="28"/>
        </w:rPr>
        <w:t>21</w:t>
      </w:r>
      <w:r>
        <w:rPr>
          <w:rFonts w:hAnsi="宋体"/>
          <w:sz w:val="28"/>
          <w:szCs w:val="28"/>
        </w:rPr>
        <w:t>号，</w:t>
      </w:r>
      <w:r>
        <w:rPr>
          <w:sz w:val="28"/>
          <w:szCs w:val="28"/>
        </w:rPr>
        <w:t>2013</w:t>
      </w:r>
      <w:r>
        <w:rPr>
          <w:rFonts w:hAnsi="宋体"/>
          <w:sz w:val="28"/>
          <w:szCs w:val="28"/>
        </w:rPr>
        <w:t>年</w:t>
      </w:r>
      <w:r>
        <w:rPr>
          <w:sz w:val="28"/>
          <w:szCs w:val="28"/>
        </w:rPr>
        <w:t>2</w:t>
      </w:r>
      <w:r>
        <w:rPr>
          <w:rFonts w:hAnsi="宋体"/>
          <w:sz w:val="28"/>
          <w:szCs w:val="28"/>
        </w:rPr>
        <w:t>月</w:t>
      </w:r>
      <w:r>
        <w:rPr>
          <w:sz w:val="28"/>
          <w:szCs w:val="28"/>
        </w:rPr>
        <w:t>16</w:t>
      </w:r>
      <w:r>
        <w:rPr>
          <w:rFonts w:hAnsi="宋体"/>
          <w:sz w:val="28"/>
          <w:szCs w:val="28"/>
        </w:rPr>
        <w:t>日；</w:t>
      </w:r>
    </w:p>
    <w:p>
      <w:pPr>
        <w:tabs>
          <w:tab w:val="left" w:pos="900"/>
        </w:tabs>
        <w:spacing w:line="360" w:lineRule="auto"/>
        <w:ind w:firstLine="560" w:firstLineChars="200"/>
        <w:rPr>
          <w:sz w:val="28"/>
          <w:szCs w:val="28"/>
        </w:rPr>
      </w:pPr>
      <w:r>
        <w:rPr>
          <w:sz w:val="28"/>
          <w:szCs w:val="28"/>
        </w:rPr>
        <w:t>(9)</w:t>
      </w:r>
      <w:r>
        <w:rPr>
          <w:rFonts w:hAnsi="宋体"/>
          <w:sz w:val="28"/>
          <w:szCs w:val="28"/>
        </w:rPr>
        <w:t>《国务院关于印发大气污染防治行动计划的通知》，国发〔</w:t>
      </w:r>
      <w:r>
        <w:rPr>
          <w:sz w:val="28"/>
          <w:szCs w:val="28"/>
        </w:rPr>
        <w:t>2013</w:t>
      </w:r>
      <w:r>
        <w:rPr>
          <w:rFonts w:hAnsi="宋体"/>
          <w:sz w:val="28"/>
          <w:szCs w:val="28"/>
        </w:rPr>
        <w:t>〕</w:t>
      </w:r>
      <w:r>
        <w:rPr>
          <w:sz w:val="28"/>
          <w:szCs w:val="28"/>
        </w:rPr>
        <w:t>37</w:t>
      </w:r>
      <w:r>
        <w:rPr>
          <w:rFonts w:hAnsi="宋体"/>
          <w:sz w:val="28"/>
          <w:szCs w:val="28"/>
        </w:rPr>
        <w:t>号，</w:t>
      </w:r>
      <w:r>
        <w:rPr>
          <w:sz w:val="28"/>
          <w:szCs w:val="28"/>
        </w:rPr>
        <w:t>2013</w:t>
      </w:r>
      <w:r>
        <w:rPr>
          <w:rFonts w:hAnsi="宋体"/>
          <w:sz w:val="28"/>
          <w:szCs w:val="28"/>
        </w:rPr>
        <w:t>年</w:t>
      </w:r>
      <w:r>
        <w:rPr>
          <w:sz w:val="28"/>
          <w:szCs w:val="28"/>
        </w:rPr>
        <w:t>9</w:t>
      </w:r>
      <w:r>
        <w:rPr>
          <w:rFonts w:hAnsi="宋体"/>
          <w:sz w:val="28"/>
          <w:szCs w:val="28"/>
        </w:rPr>
        <w:t>月</w:t>
      </w:r>
      <w:r>
        <w:rPr>
          <w:sz w:val="28"/>
          <w:szCs w:val="28"/>
        </w:rPr>
        <w:t>10</w:t>
      </w:r>
      <w:r>
        <w:rPr>
          <w:rFonts w:hAnsi="宋体"/>
          <w:sz w:val="28"/>
          <w:szCs w:val="28"/>
        </w:rPr>
        <w:t>日；</w:t>
      </w:r>
    </w:p>
    <w:p>
      <w:pPr>
        <w:tabs>
          <w:tab w:val="left" w:pos="900"/>
        </w:tabs>
        <w:spacing w:line="360" w:lineRule="auto"/>
        <w:ind w:firstLine="560" w:firstLineChars="200"/>
        <w:rPr>
          <w:sz w:val="28"/>
          <w:szCs w:val="28"/>
        </w:rPr>
      </w:pPr>
      <w:r>
        <w:rPr>
          <w:sz w:val="28"/>
          <w:szCs w:val="28"/>
        </w:rPr>
        <w:t>(10)</w:t>
      </w:r>
      <w:r>
        <w:rPr>
          <w:rFonts w:hAnsi="宋体"/>
          <w:sz w:val="28"/>
          <w:szCs w:val="28"/>
        </w:rPr>
        <w:t>《太湖流域管理条例》，国务院令第</w:t>
      </w:r>
      <w:r>
        <w:rPr>
          <w:sz w:val="28"/>
          <w:szCs w:val="28"/>
        </w:rPr>
        <w:t>604</w:t>
      </w:r>
      <w:r>
        <w:rPr>
          <w:rFonts w:hAnsi="宋体"/>
          <w:sz w:val="28"/>
          <w:szCs w:val="28"/>
        </w:rPr>
        <w:t>号，</w:t>
      </w:r>
      <w:r>
        <w:rPr>
          <w:sz w:val="28"/>
          <w:szCs w:val="28"/>
        </w:rPr>
        <w:t>2011</w:t>
      </w:r>
      <w:r>
        <w:rPr>
          <w:rFonts w:hAnsi="宋体"/>
          <w:sz w:val="28"/>
          <w:szCs w:val="28"/>
        </w:rPr>
        <w:t>年</w:t>
      </w:r>
      <w:r>
        <w:rPr>
          <w:sz w:val="28"/>
          <w:szCs w:val="28"/>
        </w:rPr>
        <w:t>8</w:t>
      </w:r>
      <w:r>
        <w:rPr>
          <w:rFonts w:hAnsi="宋体"/>
          <w:sz w:val="28"/>
          <w:szCs w:val="28"/>
        </w:rPr>
        <w:t>月</w:t>
      </w:r>
      <w:r>
        <w:rPr>
          <w:sz w:val="28"/>
          <w:szCs w:val="28"/>
        </w:rPr>
        <w:t>24</w:t>
      </w:r>
      <w:r>
        <w:rPr>
          <w:rFonts w:hAnsi="宋体"/>
          <w:sz w:val="28"/>
          <w:szCs w:val="28"/>
        </w:rPr>
        <w:t>日国务院第</w:t>
      </w:r>
      <w:r>
        <w:rPr>
          <w:sz w:val="28"/>
          <w:szCs w:val="28"/>
        </w:rPr>
        <w:t>169</w:t>
      </w:r>
      <w:r>
        <w:rPr>
          <w:rFonts w:hAnsi="宋体"/>
          <w:sz w:val="28"/>
          <w:szCs w:val="28"/>
        </w:rPr>
        <w:t>次常务会议通过，自</w:t>
      </w:r>
      <w:r>
        <w:rPr>
          <w:sz w:val="28"/>
          <w:szCs w:val="28"/>
        </w:rPr>
        <w:t>2011</w:t>
      </w:r>
      <w:r>
        <w:rPr>
          <w:rFonts w:hAnsi="宋体"/>
          <w:sz w:val="28"/>
          <w:szCs w:val="28"/>
        </w:rPr>
        <w:t>年</w:t>
      </w:r>
      <w:r>
        <w:rPr>
          <w:sz w:val="28"/>
          <w:szCs w:val="28"/>
        </w:rPr>
        <w:t>11</w:t>
      </w:r>
      <w:r>
        <w:rPr>
          <w:rFonts w:hAnsi="宋体"/>
          <w:sz w:val="28"/>
          <w:szCs w:val="28"/>
        </w:rPr>
        <w:t>月</w:t>
      </w:r>
      <w:r>
        <w:rPr>
          <w:sz w:val="28"/>
          <w:szCs w:val="28"/>
        </w:rPr>
        <w:t>1</w:t>
      </w:r>
      <w:r>
        <w:rPr>
          <w:rFonts w:hAnsi="宋体"/>
          <w:sz w:val="28"/>
          <w:szCs w:val="28"/>
        </w:rPr>
        <w:t>日起施行；</w:t>
      </w:r>
    </w:p>
    <w:p>
      <w:pPr>
        <w:tabs>
          <w:tab w:val="left" w:pos="900"/>
        </w:tabs>
        <w:spacing w:line="360" w:lineRule="auto"/>
        <w:ind w:firstLine="560" w:firstLineChars="200"/>
        <w:rPr>
          <w:sz w:val="28"/>
          <w:szCs w:val="28"/>
        </w:rPr>
      </w:pPr>
      <w:r>
        <w:rPr>
          <w:sz w:val="28"/>
          <w:szCs w:val="28"/>
        </w:rPr>
        <w:t>(11)</w:t>
      </w:r>
      <w:r>
        <w:rPr>
          <w:rFonts w:hAnsi="宋体"/>
          <w:sz w:val="28"/>
          <w:szCs w:val="28"/>
        </w:rPr>
        <w:t>《关于抑制部分行业产能过剩和重复建设引导产业健康发展若干意见的通知》，国发</w:t>
      </w:r>
      <w:r>
        <w:rPr>
          <w:sz w:val="28"/>
          <w:szCs w:val="28"/>
        </w:rPr>
        <w:t>[2009]38</w:t>
      </w:r>
      <w:r>
        <w:rPr>
          <w:rFonts w:hAnsi="宋体"/>
          <w:sz w:val="28"/>
          <w:szCs w:val="28"/>
        </w:rPr>
        <w:t>号；</w:t>
      </w:r>
    </w:p>
    <w:p>
      <w:pPr>
        <w:tabs>
          <w:tab w:val="left" w:pos="900"/>
        </w:tabs>
        <w:spacing w:line="360" w:lineRule="auto"/>
        <w:ind w:firstLine="560" w:firstLineChars="200"/>
        <w:rPr>
          <w:sz w:val="28"/>
          <w:szCs w:val="28"/>
        </w:rPr>
      </w:pPr>
      <w:r>
        <w:rPr>
          <w:sz w:val="28"/>
          <w:szCs w:val="28"/>
        </w:rPr>
        <w:t>(12)</w:t>
      </w:r>
      <w:r>
        <w:rPr>
          <w:rFonts w:hAnsi="宋体"/>
          <w:sz w:val="28"/>
          <w:szCs w:val="28"/>
        </w:rPr>
        <w:t>《关于进一步加强环境影响评价管理防范环境风险的通知》，环发</w:t>
      </w:r>
      <w:r>
        <w:rPr>
          <w:sz w:val="28"/>
          <w:szCs w:val="28"/>
        </w:rPr>
        <w:t>[2012]77</w:t>
      </w:r>
      <w:r>
        <w:rPr>
          <w:rFonts w:hAnsi="宋体"/>
          <w:sz w:val="28"/>
          <w:szCs w:val="28"/>
        </w:rPr>
        <w:t>号；</w:t>
      </w:r>
    </w:p>
    <w:p>
      <w:pPr>
        <w:tabs>
          <w:tab w:val="left" w:pos="900"/>
        </w:tabs>
        <w:spacing w:line="360" w:lineRule="auto"/>
        <w:ind w:firstLine="560" w:firstLineChars="200"/>
        <w:rPr>
          <w:sz w:val="28"/>
          <w:szCs w:val="28"/>
        </w:rPr>
      </w:pPr>
      <w:r>
        <w:rPr>
          <w:sz w:val="28"/>
          <w:szCs w:val="28"/>
        </w:rPr>
        <w:t>(13)</w:t>
      </w:r>
      <w:r>
        <w:rPr>
          <w:rFonts w:hAnsi="宋体"/>
          <w:sz w:val="28"/>
          <w:szCs w:val="28"/>
        </w:rPr>
        <w:t>《关于切实加强风险防范严格环境影响评价管理的通知》，环发</w:t>
      </w:r>
      <w:r>
        <w:rPr>
          <w:sz w:val="28"/>
          <w:szCs w:val="28"/>
        </w:rPr>
        <w:t>[2012]98</w:t>
      </w:r>
      <w:r>
        <w:rPr>
          <w:rFonts w:hAnsi="宋体"/>
          <w:sz w:val="28"/>
          <w:szCs w:val="28"/>
        </w:rPr>
        <w:t>号；</w:t>
      </w:r>
      <w:bookmarkStart w:id="10" w:name="_Toc224440801"/>
    </w:p>
    <w:p>
      <w:pPr>
        <w:tabs>
          <w:tab w:val="left" w:pos="900"/>
        </w:tabs>
        <w:spacing w:line="360" w:lineRule="auto"/>
        <w:ind w:firstLine="560" w:firstLineChars="200"/>
        <w:rPr>
          <w:sz w:val="28"/>
          <w:szCs w:val="28"/>
        </w:rPr>
      </w:pPr>
      <w:r>
        <w:rPr>
          <w:sz w:val="28"/>
          <w:szCs w:val="28"/>
        </w:rPr>
        <w:t>(14)</w:t>
      </w:r>
      <w:r>
        <w:rPr>
          <w:rFonts w:hAnsi="宋体"/>
          <w:sz w:val="28"/>
          <w:szCs w:val="28"/>
        </w:rPr>
        <w:t>《江苏省大气污染防治条例》，</w:t>
      </w:r>
      <w:r>
        <w:rPr>
          <w:sz w:val="28"/>
          <w:szCs w:val="28"/>
        </w:rPr>
        <w:t>2015</w:t>
      </w:r>
      <w:r>
        <w:rPr>
          <w:rFonts w:hAnsi="宋体"/>
          <w:sz w:val="28"/>
          <w:szCs w:val="28"/>
        </w:rPr>
        <w:t>年</w:t>
      </w:r>
      <w:r>
        <w:rPr>
          <w:sz w:val="28"/>
          <w:szCs w:val="28"/>
        </w:rPr>
        <w:t>2</w:t>
      </w:r>
      <w:r>
        <w:rPr>
          <w:rFonts w:hAnsi="宋体"/>
          <w:sz w:val="28"/>
          <w:szCs w:val="28"/>
        </w:rPr>
        <w:t>月</w:t>
      </w:r>
      <w:r>
        <w:rPr>
          <w:sz w:val="28"/>
          <w:szCs w:val="28"/>
        </w:rPr>
        <w:t>1</w:t>
      </w:r>
      <w:r>
        <w:rPr>
          <w:rFonts w:hAnsi="宋体"/>
          <w:sz w:val="28"/>
          <w:szCs w:val="28"/>
        </w:rPr>
        <w:t>日江苏省第十二届人民代表大会第三次会议通过，自</w:t>
      </w:r>
      <w:r>
        <w:rPr>
          <w:sz w:val="28"/>
          <w:szCs w:val="28"/>
        </w:rPr>
        <w:t>2015</w:t>
      </w:r>
      <w:r>
        <w:rPr>
          <w:rFonts w:hAnsi="宋体"/>
          <w:sz w:val="28"/>
          <w:szCs w:val="28"/>
        </w:rPr>
        <w:t>年</w:t>
      </w:r>
      <w:r>
        <w:rPr>
          <w:sz w:val="28"/>
          <w:szCs w:val="28"/>
        </w:rPr>
        <w:t>3</w:t>
      </w:r>
      <w:r>
        <w:rPr>
          <w:rFonts w:hAnsi="宋体"/>
          <w:sz w:val="28"/>
          <w:szCs w:val="28"/>
        </w:rPr>
        <w:t>月</w:t>
      </w:r>
      <w:r>
        <w:rPr>
          <w:sz w:val="28"/>
          <w:szCs w:val="28"/>
        </w:rPr>
        <w:t>1</w:t>
      </w:r>
      <w:r>
        <w:rPr>
          <w:rFonts w:hAnsi="宋体"/>
          <w:sz w:val="28"/>
          <w:szCs w:val="28"/>
        </w:rPr>
        <w:t>日起施行；</w:t>
      </w:r>
    </w:p>
    <w:p>
      <w:pPr>
        <w:tabs>
          <w:tab w:val="left" w:pos="900"/>
        </w:tabs>
        <w:spacing w:line="360" w:lineRule="auto"/>
        <w:ind w:firstLine="560" w:firstLineChars="200"/>
        <w:rPr>
          <w:sz w:val="28"/>
          <w:szCs w:val="28"/>
        </w:rPr>
      </w:pPr>
      <w:r>
        <w:rPr>
          <w:sz w:val="28"/>
          <w:szCs w:val="28"/>
        </w:rPr>
        <w:t>(15)</w:t>
      </w:r>
      <w:r>
        <w:rPr>
          <w:rFonts w:hAnsi="宋体"/>
          <w:sz w:val="28"/>
          <w:szCs w:val="28"/>
        </w:rPr>
        <w:t>《江苏省水污染防治条例》江苏省人大，</w:t>
      </w:r>
      <w:r>
        <w:rPr>
          <w:sz w:val="28"/>
          <w:szCs w:val="28"/>
        </w:rPr>
        <w:t>2005</w:t>
      </w:r>
      <w:r>
        <w:rPr>
          <w:rFonts w:hAnsi="宋体"/>
          <w:sz w:val="28"/>
          <w:szCs w:val="28"/>
        </w:rPr>
        <w:t>年</w:t>
      </w:r>
      <w:r>
        <w:rPr>
          <w:sz w:val="28"/>
          <w:szCs w:val="28"/>
        </w:rPr>
        <w:t>6</w:t>
      </w:r>
      <w:r>
        <w:rPr>
          <w:rFonts w:hAnsi="宋体"/>
          <w:sz w:val="28"/>
          <w:szCs w:val="28"/>
        </w:rPr>
        <w:t>月</w:t>
      </w:r>
      <w:r>
        <w:rPr>
          <w:sz w:val="28"/>
          <w:szCs w:val="28"/>
        </w:rPr>
        <w:t>5</w:t>
      </w:r>
      <w:r>
        <w:rPr>
          <w:rFonts w:hAnsi="宋体"/>
          <w:sz w:val="28"/>
          <w:szCs w:val="28"/>
        </w:rPr>
        <w:t>日实施；</w:t>
      </w:r>
    </w:p>
    <w:p>
      <w:pPr>
        <w:tabs>
          <w:tab w:val="left" w:pos="900"/>
        </w:tabs>
        <w:spacing w:line="360" w:lineRule="auto"/>
        <w:ind w:firstLine="560" w:firstLineChars="200"/>
        <w:rPr>
          <w:sz w:val="28"/>
          <w:szCs w:val="28"/>
        </w:rPr>
      </w:pPr>
      <w:r>
        <w:rPr>
          <w:sz w:val="28"/>
          <w:szCs w:val="28"/>
        </w:rPr>
        <w:t>(16)</w:t>
      </w:r>
      <w:r>
        <w:rPr>
          <w:rFonts w:hAnsi="宋体"/>
          <w:sz w:val="28"/>
          <w:szCs w:val="28"/>
        </w:rPr>
        <w:t>《江苏省太湖水污染防治条例》，《江苏省人民代表大会常务委员会关于修改〈江苏省太湖水污染防治条例〉的决定》已由江苏省第十一届人民代表大会常务委员会第二十六次会议于</w:t>
      </w:r>
      <w:r>
        <w:rPr>
          <w:sz w:val="28"/>
          <w:szCs w:val="28"/>
        </w:rPr>
        <w:t>2012</w:t>
      </w:r>
      <w:r>
        <w:rPr>
          <w:rFonts w:hAnsi="宋体"/>
          <w:sz w:val="28"/>
          <w:szCs w:val="28"/>
        </w:rPr>
        <w:t>年</w:t>
      </w:r>
      <w:r>
        <w:rPr>
          <w:sz w:val="28"/>
          <w:szCs w:val="28"/>
        </w:rPr>
        <w:t>1</w:t>
      </w:r>
      <w:r>
        <w:rPr>
          <w:rFonts w:hAnsi="宋体"/>
          <w:sz w:val="28"/>
          <w:szCs w:val="28"/>
        </w:rPr>
        <w:t>月</w:t>
      </w:r>
      <w:r>
        <w:rPr>
          <w:sz w:val="28"/>
          <w:szCs w:val="28"/>
        </w:rPr>
        <w:t>12</w:t>
      </w:r>
      <w:r>
        <w:rPr>
          <w:rFonts w:hAnsi="宋体"/>
          <w:sz w:val="28"/>
          <w:szCs w:val="28"/>
        </w:rPr>
        <w:t>日通过，自</w:t>
      </w:r>
      <w:r>
        <w:rPr>
          <w:sz w:val="28"/>
          <w:szCs w:val="28"/>
        </w:rPr>
        <w:t>2012</w:t>
      </w:r>
      <w:r>
        <w:rPr>
          <w:rFonts w:hAnsi="宋体"/>
          <w:sz w:val="28"/>
          <w:szCs w:val="28"/>
        </w:rPr>
        <w:t>年</w:t>
      </w:r>
      <w:r>
        <w:rPr>
          <w:sz w:val="28"/>
          <w:szCs w:val="28"/>
        </w:rPr>
        <w:t>2</w:t>
      </w:r>
      <w:r>
        <w:rPr>
          <w:rFonts w:hAnsi="宋体"/>
          <w:sz w:val="28"/>
          <w:szCs w:val="28"/>
        </w:rPr>
        <w:t>月</w:t>
      </w:r>
      <w:r>
        <w:rPr>
          <w:sz w:val="28"/>
          <w:szCs w:val="28"/>
        </w:rPr>
        <w:t>1</w:t>
      </w:r>
      <w:r>
        <w:rPr>
          <w:rFonts w:hAnsi="宋体"/>
          <w:sz w:val="28"/>
          <w:szCs w:val="28"/>
        </w:rPr>
        <w:t>日起施行；</w:t>
      </w:r>
    </w:p>
    <w:p>
      <w:pPr>
        <w:tabs>
          <w:tab w:val="left" w:pos="0"/>
        </w:tabs>
        <w:spacing w:line="360" w:lineRule="auto"/>
        <w:ind w:firstLine="560" w:firstLineChars="200"/>
        <w:rPr>
          <w:sz w:val="28"/>
          <w:szCs w:val="28"/>
        </w:rPr>
      </w:pPr>
      <w:r>
        <w:rPr>
          <w:sz w:val="28"/>
          <w:szCs w:val="28"/>
        </w:rPr>
        <w:t>(17)</w:t>
      </w:r>
      <w:r>
        <w:rPr>
          <w:rFonts w:hAnsi="宋体"/>
          <w:sz w:val="28"/>
          <w:szCs w:val="28"/>
        </w:rPr>
        <w:t>《江苏省环境噪声污染防治条例》，江苏省第十届人民代表大会常务委员会第十九次会议于</w:t>
      </w:r>
      <w:r>
        <w:rPr>
          <w:sz w:val="28"/>
          <w:szCs w:val="28"/>
        </w:rPr>
        <w:t>2005</w:t>
      </w:r>
      <w:r>
        <w:rPr>
          <w:rFonts w:hAnsi="宋体"/>
          <w:sz w:val="28"/>
          <w:szCs w:val="28"/>
        </w:rPr>
        <w:t>年</w:t>
      </w:r>
      <w:r>
        <w:rPr>
          <w:sz w:val="28"/>
          <w:szCs w:val="28"/>
        </w:rPr>
        <w:t>12</w:t>
      </w:r>
      <w:r>
        <w:rPr>
          <w:rFonts w:hAnsi="宋体"/>
          <w:sz w:val="28"/>
          <w:szCs w:val="28"/>
        </w:rPr>
        <w:t>月</w:t>
      </w:r>
      <w:r>
        <w:rPr>
          <w:sz w:val="28"/>
          <w:szCs w:val="28"/>
        </w:rPr>
        <w:t>1</w:t>
      </w:r>
      <w:r>
        <w:rPr>
          <w:rFonts w:hAnsi="宋体"/>
          <w:sz w:val="28"/>
          <w:szCs w:val="28"/>
        </w:rPr>
        <w:t>日通过，自</w:t>
      </w:r>
      <w:r>
        <w:rPr>
          <w:sz w:val="28"/>
          <w:szCs w:val="28"/>
        </w:rPr>
        <w:t>2006</w:t>
      </w:r>
      <w:r>
        <w:rPr>
          <w:rFonts w:hAnsi="宋体"/>
          <w:sz w:val="28"/>
          <w:szCs w:val="28"/>
        </w:rPr>
        <w:t>年</w:t>
      </w:r>
      <w:r>
        <w:rPr>
          <w:sz w:val="28"/>
          <w:szCs w:val="28"/>
        </w:rPr>
        <w:t>3</w:t>
      </w:r>
      <w:r>
        <w:rPr>
          <w:rFonts w:hAnsi="宋体"/>
          <w:sz w:val="28"/>
          <w:szCs w:val="28"/>
        </w:rPr>
        <w:t>月</w:t>
      </w:r>
      <w:r>
        <w:rPr>
          <w:sz w:val="28"/>
          <w:szCs w:val="28"/>
        </w:rPr>
        <w:t>1</w:t>
      </w:r>
      <w:r>
        <w:rPr>
          <w:rFonts w:hAnsi="宋体"/>
          <w:sz w:val="28"/>
          <w:szCs w:val="28"/>
        </w:rPr>
        <w:t>日起施行；</w:t>
      </w:r>
    </w:p>
    <w:p>
      <w:pPr>
        <w:tabs>
          <w:tab w:val="left" w:pos="900"/>
        </w:tabs>
        <w:spacing w:line="360" w:lineRule="auto"/>
        <w:ind w:firstLine="560" w:firstLineChars="200"/>
        <w:rPr>
          <w:sz w:val="28"/>
          <w:szCs w:val="28"/>
        </w:rPr>
      </w:pPr>
      <w:r>
        <w:rPr>
          <w:sz w:val="28"/>
          <w:szCs w:val="28"/>
        </w:rPr>
        <w:t>(18)</w:t>
      </w:r>
      <w:r>
        <w:rPr>
          <w:rFonts w:hAnsi="宋体"/>
          <w:sz w:val="28"/>
          <w:szCs w:val="28"/>
        </w:rPr>
        <w:t>《江苏省地表水（环境）功能区划》，江苏省水利厅、江苏省环境保护厅，</w:t>
      </w:r>
      <w:r>
        <w:rPr>
          <w:sz w:val="28"/>
          <w:szCs w:val="28"/>
        </w:rPr>
        <w:t>2003</w:t>
      </w:r>
      <w:r>
        <w:rPr>
          <w:rFonts w:hAnsi="宋体"/>
          <w:sz w:val="28"/>
          <w:szCs w:val="28"/>
        </w:rPr>
        <w:t>年</w:t>
      </w:r>
      <w:r>
        <w:rPr>
          <w:sz w:val="28"/>
          <w:szCs w:val="28"/>
        </w:rPr>
        <w:t>3</w:t>
      </w:r>
      <w:r>
        <w:rPr>
          <w:rFonts w:hAnsi="宋体"/>
          <w:sz w:val="28"/>
          <w:szCs w:val="28"/>
        </w:rPr>
        <w:t>月；</w:t>
      </w:r>
    </w:p>
    <w:p>
      <w:pPr>
        <w:tabs>
          <w:tab w:val="left" w:pos="900"/>
        </w:tabs>
        <w:spacing w:line="360" w:lineRule="auto"/>
        <w:ind w:firstLine="560" w:firstLineChars="200"/>
        <w:rPr>
          <w:sz w:val="28"/>
          <w:szCs w:val="28"/>
        </w:rPr>
      </w:pPr>
      <w:r>
        <w:rPr>
          <w:sz w:val="28"/>
          <w:szCs w:val="28"/>
        </w:rPr>
        <w:t>(19)</w:t>
      </w:r>
      <w:r>
        <w:rPr>
          <w:rFonts w:hAnsi="宋体"/>
          <w:sz w:val="28"/>
          <w:szCs w:val="28"/>
        </w:rPr>
        <w:t>《江苏省危险废物管理暂行办法》，江苏省人民政府</w:t>
      </w:r>
      <w:r>
        <w:rPr>
          <w:sz w:val="28"/>
          <w:szCs w:val="28"/>
        </w:rPr>
        <w:t>[1994]49</w:t>
      </w:r>
      <w:r>
        <w:rPr>
          <w:rFonts w:hAnsi="宋体"/>
          <w:sz w:val="28"/>
          <w:szCs w:val="28"/>
        </w:rPr>
        <w:t>号令；</w:t>
      </w:r>
      <w:bookmarkEnd w:id="10"/>
      <w:bookmarkStart w:id="11" w:name="_Toc224440802"/>
    </w:p>
    <w:bookmarkEnd w:id="11"/>
    <w:p>
      <w:pPr>
        <w:tabs>
          <w:tab w:val="left" w:pos="900"/>
        </w:tabs>
        <w:spacing w:line="360" w:lineRule="auto"/>
        <w:ind w:firstLine="560" w:firstLineChars="200"/>
        <w:rPr>
          <w:sz w:val="28"/>
          <w:szCs w:val="28"/>
        </w:rPr>
      </w:pPr>
      <w:r>
        <w:rPr>
          <w:sz w:val="28"/>
          <w:szCs w:val="28"/>
        </w:rPr>
        <w:t>(20)</w:t>
      </w:r>
      <w:r>
        <w:rPr>
          <w:rFonts w:hAnsi="宋体"/>
          <w:sz w:val="28"/>
          <w:szCs w:val="28"/>
        </w:rPr>
        <w:t>《江苏省排放污染物总量控制暂行规定》，</w:t>
      </w:r>
      <w:r>
        <w:rPr>
          <w:sz w:val="28"/>
          <w:szCs w:val="28"/>
        </w:rPr>
        <w:t>1993</w:t>
      </w:r>
      <w:r>
        <w:rPr>
          <w:rFonts w:hAnsi="宋体"/>
          <w:sz w:val="28"/>
          <w:szCs w:val="28"/>
        </w:rPr>
        <w:t>年省政府</w:t>
      </w:r>
      <w:r>
        <w:rPr>
          <w:sz w:val="28"/>
          <w:szCs w:val="28"/>
        </w:rPr>
        <w:t>38</w:t>
      </w:r>
      <w:r>
        <w:rPr>
          <w:rFonts w:hAnsi="宋体"/>
          <w:sz w:val="28"/>
          <w:szCs w:val="28"/>
        </w:rPr>
        <w:t>号令；</w:t>
      </w:r>
      <w:bookmarkStart w:id="12" w:name="_Toc224440803"/>
    </w:p>
    <w:p>
      <w:pPr>
        <w:tabs>
          <w:tab w:val="left" w:pos="900"/>
        </w:tabs>
        <w:spacing w:line="360" w:lineRule="auto"/>
        <w:ind w:firstLine="560" w:firstLineChars="200"/>
        <w:rPr>
          <w:sz w:val="28"/>
          <w:szCs w:val="28"/>
        </w:rPr>
      </w:pPr>
      <w:r>
        <w:rPr>
          <w:sz w:val="28"/>
          <w:szCs w:val="28"/>
        </w:rPr>
        <w:t>(21)</w:t>
      </w:r>
      <w:r>
        <w:rPr>
          <w:rFonts w:hAnsi="宋体"/>
          <w:sz w:val="28"/>
          <w:szCs w:val="28"/>
        </w:rPr>
        <w:t>《江苏省环境空气质量功能区划分》</w:t>
      </w:r>
      <w:bookmarkEnd w:id="12"/>
      <w:r>
        <w:rPr>
          <w:rFonts w:hAnsi="宋体"/>
          <w:sz w:val="28"/>
          <w:szCs w:val="28"/>
        </w:rPr>
        <w:t>，江苏省环境保护局，</w:t>
      </w:r>
      <w:r>
        <w:rPr>
          <w:sz w:val="28"/>
          <w:szCs w:val="28"/>
        </w:rPr>
        <w:t>1998</w:t>
      </w:r>
      <w:r>
        <w:rPr>
          <w:rFonts w:hAnsi="宋体"/>
          <w:sz w:val="28"/>
          <w:szCs w:val="28"/>
        </w:rPr>
        <w:t>年</w:t>
      </w:r>
      <w:r>
        <w:rPr>
          <w:sz w:val="28"/>
          <w:szCs w:val="28"/>
        </w:rPr>
        <w:t>9</w:t>
      </w:r>
      <w:r>
        <w:rPr>
          <w:rFonts w:hAnsi="宋体"/>
          <w:sz w:val="28"/>
          <w:szCs w:val="28"/>
        </w:rPr>
        <w:t>月；</w:t>
      </w:r>
    </w:p>
    <w:p>
      <w:pPr>
        <w:tabs>
          <w:tab w:val="left" w:pos="900"/>
        </w:tabs>
        <w:spacing w:line="360" w:lineRule="auto"/>
        <w:ind w:firstLine="560" w:firstLineChars="200"/>
        <w:rPr>
          <w:sz w:val="28"/>
          <w:szCs w:val="28"/>
        </w:rPr>
      </w:pPr>
      <w:r>
        <w:rPr>
          <w:sz w:val="28"/>
          <w:szCs w:val="28"/>
        </w:rPr>
        <w:t>(22)</w:t>
      </w:r>
      <w:r>
        <w:rPr>
          <w:rFonts w:hAnsi="宋体"/>
          <w:sz w:val="28"/>
          <w:szCs w:val="28"/>
        </w:rPr>
        <w:t>《省政府办公厅关于印发江苏省工业和信息产业结构调整指导目录（</w:t>
      </w:r>
      <w:r>
        <w:rPr>
          <w:sz w:val="28"/>
          <w:szCs w:val="28"/>
        </w:rPr>
        <w:t>2012</w:t>
      </w:r>
      <w:r>
        <w:rPr>
          <w:rFonts w:hAnsi="宋体"/>
          <w:sz w:val="28"/>
          <w:szCs w:val="28"/>
        </w:rPr>
        <w:t>年本）的通知》，苏政办发〔</w:t>
      </w:r>
      <w:r>
        <w:rPr>
          <w:sz w:val="28"/>
          <w:szCs w:val="28"/>
        </w:rPr>
        <w:t>2013</w:t>
      </w:r>
      <w:r>
        <w:rPr>
          <w:rFonts w:hAnsi="宋体"/>
          <w:sz w:val="28"/>
          <w:szCs w:val="28"/>
        </w:rPr>
        <w:t>〕</w:t>
      </w:r>
      <w:r>
        <w:rPr>
          <w:sz w:val="28"/>
          <w:szCs w:val="28"/>
        </w:rPr>
        <w:t>9</w:t>
      </w:r>
      <w:r>
        <w:rPr>
          <w:rFonts w:hAnsi="宋体"/>
          <w:sz w:val="28"/>
          <w:szCs w:val="28"/>
        </w:rPr>
        <w:t>号，</w:t>
      </w:r>
      <w:r>
        <w:rPr>
          <w:sz w:val="28"/>
          <w:szCs w:val="28"/>
        </w:rPr>
        <w:t>2013</w:t>
      </w:r>
      <w:r>
        <w:rPr>
          <w:rFonts w:hAnsi="宋体"/>
          <w:sz w:val="28"/>
          <w:szCs w:val="28"/>
        </w:rPr>
        <w:t>年</w:t>
      </w:r>
      <w:r>
        <w:rPr>
          <w:sz w:val="28"/>
          <w:szCs w:val="28"/>
        </w:rPr>
        <w:t>1</w:t>
      </w:r>
      <w:r>
        <w:rPr>
          <w:rFonts w:hAnsi="宋体"/>
          <w:sz w:val="28"/>
          <w:szCs w:val="28"/>
        </w:rPr>
        <w:t>月</w:t>
      </w:r>
      <w:r>
        <w:rPr>
          <w:sz w:val="28"/>
          <w:szCs w:val="28"/>
        </w:rPr>
        <w:t>29</w:t>
      </w:r>
      <w:r>
        <w:rPr>
          <w:rFonts w:hAnsi="宋体"/>
          <w:sz w:val="28"/>
          <w:szCs w:val="28"/>
        </w:rPr>
        <w:t>日；</w:t>
      </w:r>
    </w:p>
    <w:p>
      <w:pPr>
        <w:tabs>
          <w:tab w:val="left" w:pos="900"/>
        </w:tabs>
        <w:spacing w:line="360" w:lineRule="auto"/>
        <w:ind w:firstLine="560" w:firstLineChars="200"/>
        <w:rPr>
          <w:sz w:val="28"/>
          <w:szCs w:val="28"/>
        </w:rPr>
      </w:pPr>
      <w:r>
        <w:rPr>
          <w:sz w:val="28"/>
          <w:szCs w:val="28"/>
        </w:rPr>
        <w:t>(23)</w:t>
      </w:r>
      <w:r>
        <w:rPr>
          <w:rFonts w:hAnsi="宋体"/>
          <w:sz w:val="28"/>
          <w:szCs w:val="28"/>
        </w:rPr>
        <w:t>《关于修改</w:t>
      </w:r>
      <w:r>
        <w:rPr>
          <w:sz w:val="28"/>
          <w:szCs w:val="28"/>
        </w:rPr>
        <w:t>&lt;</w:t>
      </w:r>
      <w:r>
        <w:rPr>
          <w:rFonts w:hAnsi="宋体"/>
          <w:sz w:val="28"/>
          <w:szCs w:val="28"/>
        </w:rPr>
        <w:t>江苏省工业和信息产业结构调整指导目录（</w:t>
      </w:r>
      <w:r>
        <w:rPr>
          <w:sz w:val="28"/>
          <w:szCs w:val="28"/>
        </w:rPr>
        <w:t>2012</w:t>
      </w:r>
      <w:r>
        <w:rPr>
          <w:rFonts w:hAnsi="宋体"/>
          <w:sz w:val="28"/>
          <w:szCs w:val="28"/>
        </w:rPr>
        <w:t>年本）</w:t>
      </w:r>
      <w:r>
        <w:rPr>
          <w:sz w:val="28"/>
          <w:szCs w:val="28"/>
        </w:rPr>
        <w:t>&gt;</w:t>
      </w:r>
      <w:r>
        <w:rPr>
          <w:rFonts w:hAnsi="宋体"/>
          <w:sz w:val="28"/>
          <w:szCs w:val="28"/>
        </w:rPr>
        <w:t>部分条目的通知》，苏经信产业</w:t>
      </w:r>
      <w:r>
        <w:rPr>
          <w:sz w:val="28"/>
          <w:szCs w:val="28"/>
        </w:rPr>
        <w:t>[2013]183</w:t>
      </w:r>
      <w:r>
        <w:rPr>
          <w:rFonts w:hAnsi="宋体"/>
          <w:sz w:val="28"/>
          <w:szCs w:val="28"/>
        </w:rPr>
        <w:t>号；</w:t>
      </w:r>
    </w:p>
    <w:p>
      <w:pPr>
        <w:tabs>
          <w:tab w:val="left" w:pos="900"/>
        </w:tabs>
        <w:spacing w:line="360" w:lineRule="auto"/>
        <w:ind w:firstLine="560" w:firstLineChars="200"/>
        <w:rPr>
          <w:sz w:val="28"/>
          <w:szCs w:val="28"/>
        </w:rPr>
      </w:pPr>
      <w:r>
        <w:rPr>
          <w:sz w:val="28"/>
          <w:szCs w:val="28"/>
        </w:rPr>
        <w:t>(24)</w:t>
      </w:r>
      <w:r>
        <w:rPr>
          <w:rFonts w:hAnsi="宋体"/>
          <w:sz w:val="28"/>
          <w:szCs w:val="28"/>
        </w:rPr>
        <w:t>《省政府关于印发江苏省大气污染防治行动计划实施方案的通知》，苏政发〔</w:t>
      </w:r>
      <w:r>
        <w:rPr>
          <w:sz w:val="28"/>
          <w:szCs w:val="28"/>
        </w:rPr>
        <w:t>2014</w:t>
      </w:r>
      <w:r>
        <w:rPr>
          <w:rFonts w:hAnsi="宋体"/>
          <w:sz w:val="28"/>
          <w:szCs w:val="28"/>
        </w:rPr>
        <w:t>〕</w:t>
      </w:r>
      <w:r>
        <w:rPr>
          <w:sz w:val="28"/>
          <w:szCs w:val="28"/>
        </w:rPr>
        <w:t>1</w:t>
      </w:r>
      <w:r>
        <w:rPr>
          <w:rFonts w:hAnsi="宋体"/>
          <w:sz w:val="28"/>
          <w:szCs w:val="28"/>
        </w:rPr>
        <w:t>号；</w:t>
      </w:r>
    </w:p>
    <w:p>
      <w:pPr>
        <w:tabs>
          <w:tab w:val="left" w:pos="900"/>
        </w:tabs>
        <w:spacing w:line="360" w:lineRule="auto"/>
        <w:ind w:firstLine="560" w:firstLineChars="200"/>
        <w:rPr>
          <w:sz w:val="28"/>
          <w:szCs w:val="28"/>
        </w:rPr>
      </w:pPr>
      <w:r>
        <w:rPr>
          <w:sz w:val="28"/>
          <w:szCs w:val="28"/>
        </w:rPr>
        <w:t>(25)</w:t>
      </w:r>
      <w:r>
        <w:rPr>
          <w:rFonts w:hint="eastAsia"/>
          <w:sz w:val="28"/>
          <w:szCs w:val="28"/>
        </w:rPr>
        <w:t xml:space="preserve"> 《关于加强建环境影响评价现状监测管理的通知》，苏环办，[2016]185号</w:t>
      </w:r>
      <w:r>
        <w:rPr>
          <w:sz w:val="28"/>
          <w:szCs w:val="28"/>
        </w:rPr>
        <w:t>；</w:t>
      </w:r>
    </w:p>
    <w:p>
      <w:pPr>
        <w:tabs>
          <w:tab w:val="left" w:pos="900"/>
        </w:tabs>
        <w:spacing w:line="360" w:lineRule="auto"/>
        <w:ind w:firstLine="560" w:firstLineChars="200"/>
        <w:rPr>
          <w:sz w:val="28"/>
          <w:szCs w:val="28"/>
        </w:rPr>
      </w:pPr>
      <w:r>
        <w:rPr>
          <w:sz w:val="28"/>
          <w:szCs w:val="28"/>
        </w:rPr>
        <w:t xml:space="preserve"> (26)</w:t>
      </w:r>
      <w:r>
        <w:rPr>
          <w:rFonts w:hAnsi="宋体"/>
          <w:sz w:val="28"/>
          <w:szCs w:val="28"/>
        </w:rPr>
        <w:t>《省政府关于印发江苏省生态红线区域保护规划的通知》，苏政发〔</w:t>
      </w:r>
      <w:r>
        <w:rPr>
          <w:sz w:val="28"/>
          <w:szCs w:val="28"/>
        </w:rPr>
        <w:t>2013</w:t>
      </w:r>
      <w:r>
        <w:rPr>
          <w:rFonts w:hAnsi="宋体"/>
          <w:sz w:val="28"/>
          <w:szCs w:val="28"/>
        </w:rPr>
        <w:t>〕</w:t>
      </w:r>
      <w:r>
        <w:rPr>
          <w:sz w:val="28"/>
          <w:szCs w:val="28"/>
        </w:rPr>
        <w:t>113</w:t>
      </w:r>
      <w:r>
        <w:rPr>
          <w:rFonts w:hAnsi="宋体"/>
          <w:sz w:val="28"/>
          <w:szCs w:val="28"/>
        </w:rPr>
        <w:t>号，江苏省人民政府，</w:t>
      </w:r>
      <w:r>
        <w:rPr>
          <w:sz w:val="28"/>
          <w:szCs w:val="28"/>
        </w:rPr>
        <w:t>2013</w:t>
      </w:r>
      <w:r>
        <w:rPr>
          <w:rFonts w:hAnsi="宋体"/>
          <w:sz w:val="28"/>
          <w:szCs w:val="28"/>
        </w:rPr>
        <w:t>年</w:t>
      </w:r>
      <w:r>
        <w:rPr>
          <w:sz w:val="28"/>
          <w:szCs w:val="28"/>
        </w:rPr>
        <w:t>8</w:t>
      </w:r>
      <w:r>
        <w:rPr>
          <w:rFonts w:hAnsi="宋体"/>
          <w:sz w:val="28"/>
          <w:szCs w:val="28"/>
        </w:rPr>
        <w:t>月</w:t>
      </w:r>
      <w:r>
        <w:rPr>
          <w:sz w:val="28"/>
          <w:szCs w:val="28"/>
        </w:rPr>
        <w:t>30</w:t>
      </w:r>
      <w:r>
        <w:rPr>
          <w:rFonts w:hAnsi="宋体"/>
          <w:sz w:val="28"/>
          <w:szCs w:val="28"/>
        </w:rPr>
        <w:t>日；</w:t>
      </w:r>
    </w:p>
    <w:p>
      <w:pPr>
        <w:tabs>
          <w:tab w:val="left" w:pos="900"/>
        </w:tabs>
        <w:spacing w:line="360" w:lineRule="auto"/>
        <w:ind w:firstLine="560" w:firstLineChars="200"/>
        <w:rPr>
          <w:sz w:val="28"/>
          <w:szCs w:val="28"/>
        </w:rPr>
      </w:pPr>
      <w:r>
        <w:rPr>
          <w:sz w:val="28"/>
          <w:szCs w:val="28"/>
        </w:rPr>
        <w:t>(27)</w:t>
      </w:r>
      <w:r>
        <w:rPr>
          <w:rFonts w:hAnsi="宋体"/>
          <w:sz w:val="28"/>
          <w:szCs w:val="28"/>
        </w:rPr>
        <w:t>《关于印发江苏省建设项目主要污染物排放总量区域平衡方案审核管理办法的通知》，苏环办〔</w:t>
      </w:r>
      <w:r>
        <w:rPr>
          <w:sz w:val="28"/>
          <w:szCs w:val="28"/>
        </w:rPr>
        <w:t>2011</w:t>
      </w:r>
      <w:r>
        <w:rPr>
          <w:rFonts w:hAnsi="宋体"/>
          <w:sz w:val="28"/>
          <w:szCs w:val="28"/>
        </w:rPr>
        <w:t>〕</w:t>
      </w:r>
      <w:r>
        <w:rPr>
          <w:sz w:val="28"/>
          <w:szCs w:val="28"/>
        </w:rPr>
        <w:t>71</w:t>
      </w:r>
      <w:r>
        <w:rPr>
          <w:rFonts w:hAnsi="宋体"/>
          <w:sz w:val="28"/>
          <w:szCs w:val="28"/>
        </w:rPr>
        <w:t>号，</w:t>
      </w:r>
      <w:r>
        <w:rPr>
          <w:sz w:val="28"/>
          <w:szCs w:val="28"/>
        </w:rPr>
        <w:t>2011</w:t>
      </w:r>
      <w:r>
        <w:rPr>
          <w:rFonts w:hAnsi="宋体"/>
          <w:sz w:val="28"/>
          <w:szCs w:val="28"/>
        </w:rPr>
        <w:t>年</w:t>
      </w:r>
      <w:r>
        <w:rPr>
          <w:sz w:val="28"/>
          <w:szCs w:val="28"/>
        </w:rPr>
        <w:t>03</w:t>
      </w:r>
      <w:r>
        <w:rPr>
          <w:rFonts w:hAnsi="宋体"/>
          <w:sz w:val="28"/>
          <w:szCs w:val="28"/>
        </w:rPr>
        <w:t>月</w:t>
      </w:r>
      <w:r>
        <w:rPr>
          <w:sz w:val="28"/>
          <w:szCs w:val="28"/>
        </w:rPr>
        <w:t>17</w:t>
      </w:r>
      <w:r>
        <w:rPr>
          <w:rFonts w:hAnsi="宋体"/>
          <w:sz w:val="28"/>
          <w:szCs w:val="28"/>
        </w:rPr>
        <w:t>日；</w:t>
      </w:r>
    </w:p>
    <w:p>
      <w:pPr>
        <w:tabs>
          <w:tab w:val="left" w:pos="900"/>
        </w:tabs>
        <w:spacing w:line="360" w:lineRule="auto"/>
        <w:ind w:firstLine="560" w:firstLineChars="200"/>
        <w:rPr>
          <w:sz w:val="28"/>
          <w:szCs w:val="28"/>
        </w:rPr>
      </w:pPr>
      <w:r>
        <w:rPr>
          <w:sz w:val="28"/>
          <w:szCs w:val="28"/>
        </w:rPr>
        <w:t>(28)</w:t>
      </w:r>
      <w:r>
        <w:rPr>
          <w:rFonts w:hAnsi="宋体"/>
          <w:sz w:val="28"/>
          <w:szCs w:val="28"/>
        </w:rPr>
        <w:t>《关于加强建设项目烟粉尘、挥发性有机物准入审核的通知》，苏环办〔</w:t>
      </w:r>
      <w:r>
        <w:rPr>
          <w:sz w:val="28"/>
          <w:szCs w:val="28"/>
        </w:rPr>
        <w:t>2014</w:t>
      </w:r>
      <w:r>
        <w:rPr>
          <w:rFonts w:hAnsi="宋体"/>
          <w:sz w:val="28"/>
          <w:szCs w:val="28"/>
        </w:rPr>
        <w:t>〕</w:t>
      </w:r>
      <w:r>
        <w:rPr>
          <w:sz w:val="28"/>
          <w:szCs w:val="28"/>
        </w:rPr>
        <w:t>148</w:t>
      </w:r>
      <w:r>
        <w:rPr>
          <w:rFonts w:hAnsi="宋体"/>
          <w:sz w:val="28"/>
          <w:szCs w:val="28"/>
        </w:rPr>
        <w:t>号，</w:t>
      </w:r>
      <w:r>
        <w:rPr>
          <w:sz w:val="28"/>
          <w:szCs w:val="28"/>
        </w:rPr>
        <w:t>2014</w:t>
      </w:r>
      <w:r>
        <w:rPr>
          <w:rFonts w:hAnsi="宋体"/>
          <w:sz w:val="28"/>
          <w:szCs w:val="28"/>
        </w:rPr>
        <w:t>年</w:t>
      </w:r>
      <w:r>
        <w:rPr>
          <w:sz w:val="28"/>
          <w:szCs w:val="28"/>
        </w:rPr>
        <w:t>06</w:t>
      </w:r>
      <w:r>
        <w:rPr>
          <w:rFonts w:hAnsi="宋体"/>
          <w:sz w:val="28"/>
          <w:szCs w:val="28"/>
        </w:rPr>
        <w:t>月</w:t>
      </w:r>
      <w:r>
        <w:rPr>
          <w:sz w:val="28"/>
          <w:szCs w:val="28"/>
        </w:rPr>
        <w:t>9</w:t>
      </w:r>
      <w:r>
        <w:rPr>
          <w:rFonts w:hAnsi="宋体"/>
          <w:sz w:val="28"/>
          <w:szCs w:val="28"/>
        </w:rPr>
        <w:t>日；</w:t>
      </w:r>
    </w:p>
    <w:p>
      <w:pPr>
        <w:tabs>
          <w:tab w:val="left" w:pos="900"/>
        </w:tabs>
        <w:spacing w:line="360" w:lineRule="auto"/>
        <w:ind w:firstLine="560" w:firstLineChars="200"/>
        <w:rPr>
          <w:sz w:val="28"/>
          <w:szCs w:val="28"/>
        </w:rPr>
      </w:pPr>
      <w:r>
        <w:rPr>
          <w:sz w:val="28"/>
          <w:szCs w:val="28"/>
        </w:rPr>
        <w:t>(29)</w:t>
      </w:r>
      <w:r>
        <w:rPr>
          <w:rFonts w:hAnsi="宋体"/>
          <w:sz w:val="28"/>
          <w:szCs w:val="28"/>
        </w:rPr>
        <w:t>《关于全面清理整治环境保护违法违规建设项目的通知》</w:t>
      </w:r>
      <w:r>
        <w:rPr>
          <w:sz w:val="28"/>
          <w:szCs w:val="28"/>
        </w:rPr>
        <w:t>(</w:t>
      </w:r>
      <w:r>
        <w:rPr>
          <w:rFonts w:hAnsi="宋体"/>
          <w:sz w:val="28"/>
          <w:szCs w:val="28"/>
        </w:rPr>
        <w:t>苏环委办</w:t>
      </w:r>
      <w:r>
        <w:rPr>
          <w:sz w:val="28"/>
          <w:szCs w:val="28"/>
        </w:rPr>
        <w:t>(2015)26</w:t>
      </w:r>
      <w:r>
        <w:rPr>
          <w:rFonts w:hAnsi="宋体"/>
          <w:sz w:val="28"/>
          <w:szCs w:val="28"/>
        </w:rPr>
        <w:t>号</w:t>
      </w:r>
      <w:r>
        <w:rPr>
          <w:sz w:val="28"/>
          <w:szCs w:val="28"/>
        </w:rPr>
        <w:t>,2015</w:t>
      </w:r>
      <w:r>
        <w:rPr>
          <w:rFonts w:hAnsi="宋体"/>
          <w:sz w:val="28"/>
          <w:szCs w:val="28"/>
        </w:rPr>
        <w:t>年</w:t>
      </w:r>
      <w:r>
        <w:rPr>
          <w:sz w:val="28"/>
          <w:szCs w:val="28"/>
        </w:rPr>
        <w:t>10</w:t>
      </w:r>
      <w:r>
        <w:rPr>
          <w:rFonts w:hAnsi="宋体"/>
          <w:sz w:val="28"/>
          <w:szCs w:val="28"/>
        </w:rPr>
        <w:t>月</w:t>
      </w:r>
      <w:r>
        <w:rPr>
          <w:sz w:val="28"/>
          <w:szCs w:val="28"/>
        </w:rPr>
        <w:t>20</w:t>
      </w:r>
      <w:r>
        <w:rPr>
          <w:rFonts w:hAnsi="宋体"/>
          <w:sz w:val="28"/>
          <w:szCs w:val="28"/>
        </w:rPr>
        <w:t>日</w:t>
      </w:r>
      <w:r>
        <w:rPr>
          <w:sz w:val="28"/>
          <w:szCs w:val="28"/>
        </w:rPr>
        <w:t xml:space="preserve">, </w:t>
      </w:r>
      <w:r>
        <w:rPr>
          <w:rFonts w:hAnsi="宋体"/>
          <w:sz w:val="28"/>
          <w:szCs w:val="28"/>
        </w:rPr>
        <w:t>江苏省环境保护委员会办公室</w:t>
      </w:r>
      <w:r>
        <w:rPr>
          <w:sz w:val="28"/>
          <w:szCs w:val="28"/>
        </w:rPr>
        <w:t>)</w:t>
      </w:r>
      <w:r>
        <w:rPr>
          <w:rFonts w:hAnsi="宋体"/>
          <w:sz w:val="28"/>
          <w:szCs w:val="28"/>
        </w:rPr>
        <w:t>；</w:t>
      </w:r>
    </w:p>
    <w:p>
      <w:pPr>
        <w:tabs>
          <w:tab w:val="left" w:pos="900"/>
        </w:tabs>
        <w:spacing w:line="360" w:lineRule="auto"/>
        <w:ind w:firstLine="560" w:firstLineChars="200"/>
        <w:rPr>
          <w:sz w:val="28"/>
          <w:szCs w:val="28"/>
        </w:rPr>
      </w:pPr>
      <w:r>
        <w:rPr>
          <w:sz w:val="28"/>
          <w:szCs w:val="28"/>
        </w:rPr>
        <w:t>(30)</w:t>
      </w:r>
      <w:r>
        <w:rPr>
          <w:rFonts w:hAnsi="宋体"/>
          <w:sz w:val="28"/>
          <w:szCs w:val="28"/>
        </w:rPr>
        <w:t>《镇江市城市环境功能区划（</w:t>
      </w:r>
      <w:r>
        <w:rPr>
          <w:sz w:val="28"/>
          <w:szCs w:val="28"/>
        </w:rPr>
        <w:t>2007</w:t>
      </w:r>
      <w:r>
        <w:rPr>
          <w:rFonts w:hAnsi="宋体"/>
          <w:sz w:val="28"/>
          <w:szCs w:val="28"/>
        </w:rPr>
        <w:t>年）》，镇江市人民政府，</w:t>
      </w:r>
      <w:r>
        <w:rPr>
          <w:sz w:val="28"/>
          <w:szCs w:val="28"/>
        </w:rPr>
        <w:t>2007</w:t>
      </w:r>
      <w:r>
        <w:rPr>
          <w:rFonts w:hAnsi="宋体"/>
          <w:sz w:val="28"/>
          <w:szCs w:val="28"/>
        </w:rPr>
        <w:t>年</w:t>
      </w:r>
      <w:r>
        <w:rPr>
          <w:sz w:val="28"/>
          <w:szCs w:val="28"/>
        </w:rPr>
        <w:t>4</w:t>
      </w:r>
      <w:r>
        <w:rPr>
          <w:rFonts w:hAnsi="宋体"/>
          <w:sz w:val="28"/>
          <w:szCs w:val="28"/>
        </w:rPr>
        <w:t>月；</w:t>
      </w:r>
    </w:p>
    <w:p>
      <w:pPr>
        <w:tabs>
          <w:tab w:val="left" w:pos="900"/>
        </w:tabs>
        <w:spacing w:line="360" w:lineRule="auto"/>
        <w:ind w:firstLine="560" w:firstLineChars="200"/>
        <w:rPr>
          <w:sz w:val="28"/>
          <w:szCs w:val="28"/>
        </w:rPr>
      </w:pPr>
      <w:r>
        <w:rPr>
          <w:sz w:val="28"/>
          <w:szCs w:val="28"/>
        </w:rPr>
        <w:t>(31)</w:t>
      </w:r>
      <w:r>
        <w:rPr>
          <w:rFonts w:hAnsi="宋体"/>
          <w:sz w:val="28"/>
          <w:szCs w:val="28"/>
        </w:rPr>
        <w:t>《镇江市人民政府办公室关于印发</w:t>
      </w:r>
      <w:r>
        <w:rPr>
          <w:sz w:val="28"/>
          <w:szCs w:val="28"/>
        </w:rPr>
        <w:t>&lt;</w:t>
      </w:r>
      <w:r>
        <w:rPr>
          <w:rFonts w:hAnsi="宋体"/>
          <w:sz w:val="28"/>
          <w:szCs w:val="28"/>
        </w:rPr>
        <w:t>镇江市生态红线区域保护规划</w:t>
      </w:r>
      <w:r>
        <w:rPr>
          <w:sz w:val="28"/>
          <w:szCs w:val="28"/>
        </w:rPr>
        <w:t>&gt;</w:t>
      </w:r>
      <w:r>
        <w:rPr>
          <w:rFonts w:hAnsi="宋体"/>
          <w:sz w:val="28"/>
          <w:szCs w:val="28"/>
        </w:rPr>
        <w:t>的通知》，镇政办发</w:t>
      </w:r>
      <w:r>
        <w:rPr>
          <w:sz w:val="28"/>
          <w:szCs w:val="28"/>
        </w:rPr>
        <w:t>[2014]147</w:t>
      </w:r>
      <w:r>
        <w:rPr>
          <w:rFonts w:hAnsi="宋体"/>
          <w:sz w:val="28"/>
          <w:szCs w:val="28"/>
        </w:rPr>
        <w:t>号，</w:t>
      </w:r>
      <w:r>
        <w:rPr>
          <w:sz w:val="28"/>
          <w:szCs w:val="28"/>
        </w:rPr>
        <w:t>2014</w:t>
      </w:r>
      <w:r>
        <w:rPr>
          <w:rFonts w:hAnsi="宋体"/>
          <w:sz w:val="28"/>
          <w:szCs w:val="28"/>
        </w:rPr>
        <w:t>年</w:t>
      </w:r>
      <w:r>
        <w:rPr>
          <w:sz w:val="28"/>
          <w:szCs w:val="28"/>
        </w:rPr>
        <w:t>9</w:t>
      </w:r>
      <w:r>
        <w:rPr>
          <w:rFonts w:hAnsi="宋体"/>
          <w:sz w:val="28"/>
          <w:szCs w:val="28"/>
        </w:rPr>
        <w:t>月</w:t>
      </w:r>
      <w:r>
        <w:rPr>
          <w:sz w:val="28"/>
          <w:szCs w:val="28"/>
        </w:rPr>
        <w:t>22</w:t>
      </w:r>
      <w:r>
        <w:rPr>
          <w:rFonts w:hAnsi="宋体"/>
          <w:sz w:val="28"/>
          <w:szCs w:val="28"/>
        </w:rPr>
        <w:t>日；</w:t>
      </w:r>
    </w:p>
    <w:p>
      <w:pPr>
        <w:tabs>
          <w:tab w:val="left" w:pos="900"/>
        </w:tabs>
        <w:spacing w:line="360" w:lineRule="auto"/>
        <w:ind w:firstLine="560" w:firstLineChars="200"/>
        <w:rPr>
          <w:rFonts w:eastAsia="仿宋_GB2312"/>
          <w:sz w:val="28"/>
          <w:szCs w:val="28"/>
        </w:rPr>
      </w:pPr>
      <w:r>
        <w:rPr>
          <w:sz w:val="28"/>
          <w:szCs w:val="28"/>
        </w:rPr>
        <w:t>(32)</w:t>
      </w:r>
      <w:r>
        <w:rPr>
          <w:rFonts w:hAnsi="宋体"/>
          <w:sz w:val="28"/>
          <w:szCs w:val="28"/>
        </w:rPr>
        <w:t>《丹阳市清理整治环保违法违规建设项目工作方案》（丹政办发</w:t>
      </w:r>
      <w:r>
        <w:rPr>
          <w:sz w:val="28"/>
          <w:szCs w:val="28"/>
        </w:rPr>
        <w:t>[2016]82</w:t>
      </w:r>
      <w:r>
        <w:rPr>
          <w:rFonts w:hAnsi="宋体"/>
          <w:sz w:val="28"/>
          <w:szCs w:val="28"/>
        </w:rPr>
        <w:t>号）。</w:t>
      </w:r>
    </w:p>
    <w:bookmarkEnd w:id="7"/>
    <w:p>
      <w:pPr>
        <w:pStyle w:val="30"/>
        <w:spacing w:before="120" w:after="120"/>
        <w:rPr>
          <w:rFonts w:hint="eastAsia" w:asciiTheme="minorEastAsia" w:hAnsiTheme="minorEastAsia" w:eastAsiaTheme="minorEastAsia" w:cstheme="minorEastAsia"/>
        </w:rPr>
      </w:pPr>
      <w:bookmarkStart w:id="13" w:name="_Toc19734"/>
      <w:r>
        <w:rPr>
          <w:rFonts w:hint="eastAsia" w:asciiTheme="minorEastAsia" w:hAnsiTheme="minorEastAsia" w:eastAsiaTheme="minorEastAsia" w:cstheme="minorEastAsia"/>
        </w:rPr>
        <w:t>1.2评价目的</w:t>
      </w:r>
      <w:bookmarkEnd w:id="4"/>
      <w:bookmarkEnd w:id="5"/>
      <w:r>
        <w:rPr>
          <w:rFonts w:hint="eastAsia" w:asciiTheme="minorEastAsia" w:hAnsiTheme="minorEastAsia" w:eastAsiaTheme="minorEastAsia" w:cstheme="minorEastAsia"/>
        </w:rPr>
        <w:t>、重点</w:t>
      </w:r>
      <w:bookmarkEnd w:id="13"/>
    </w:p>
    <w:p>
      <w:pPr>
        <w:pStyle w:val="32"/>
        <w:spacing w:before="120" w:after="120"/>
        <w:rPr>
          <w:rFonts w:hint="eastAsia" w:asciiTheme="minorEastAsia" w:hAnsiTheme="minorEastAsia" w:eastAsiaTheme="minorEastAsia" w:cstheme="minorEastAsia"/>
        </w:rPr>
      </w:pPr>
      <w:bookmarkStart w:id="14" w:name="_Toc146436328"/>
      <w:bookmarkStart w:id="15" w:name="_Toc224440808"/>
      <w:r>
        <w:rPr>
          <w:rFonts w:hint="eastAsia" w:asciiTheme="minorEastAsia" w:hAnsiTheme="minorEastAsia" w:eastAsiaTheme="minorEastAsia" w:cstheme="minorEastAsia"/>
        </w:rPr>
        <w:t>1.2.1评价目的</w:t>
      </w:r>
      <w:bookmarkEnd w:id="14"/>
      <w:bookmarkEnd w:id="15"/>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（1）完善项目环保手续，确保项目的环境可行性。</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（2）对建成后项目实际的环境影响进行分析和评价，并对已采取的环保措施分析可行性，并提出切实可行的整改措施。</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具体工作方式和步骤：</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①对照国家及江苏省现行地方产业政策，明确公司现状各类项目的产业政策相符性；对照《江苏省生态红线区域保护规划》管控要求，明确公司现状厂址与该管控要求是否冲突；</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②通过对公司全厂现有项目进行工程核查和分析，摸清其主要污染源及其污染物产生环节和排放情况，核实其现状实际产生总量；</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③对公司现有污染源及其污染防治措施实际运行情况进行监测调查的基础上，核算各类污染物的现状实际排放总量，明确其现状达标排放情况，并提出相应改进措施和意见；</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④通过区域环境质量现状的监测调查，分析公司现状污染物排放情况对区域环境质量的影响情况；结合区域污染源调查及区域污染物总量控制要求，提出公司主要污染物的总量控制目标及平衡途径；</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⑤结合以上工程核查和监测调查结果，从清洁生产角度出发，对其生产工艺技术及污染防治措施的技术合理性和设备设施可靠性进行进一步分析论证，为公司进一步的节能减排提出相应措施建议。</w:t>
      </w:r>
    </w:p>
    <w:p>
      <w:pPr>
        <w:pStyle w:val="32"/>
        <w:spacing w:before="120" w:after="120"/>
        <w:rPr>
          <w:rFonts w:hint="eastAsia" w:asciiTheme="minorEastAsia" w:hAnsiTheme="minorEastAsia" w:eastAsiaTheme="minorEastAsia" w:cstheme="minorEastAsia"/>
        </w:rPr>
      </w:pPr>
      <w:bookmarkStart w:id="16" w:name="_Toc224440809"/>
      <w:r>
        <w:rPr>
          <w:rFonts w:hint="eastAsia" w:asciiTheme="minorEastAsia" w:hAnsiTheme="minorEastAsia" w:eastAsiaTheme="minorEastAsia" w:cstheme="minorEastAsia"/>
        </w:rPr>
        <w:t>1.2.2评价</w:t>
      </w:r>
      <w:bookmarkEnd w:id="16"/>
      <w:r>
        <w:rPr>
          <w:rFonts w:hint="eastAsia" w:asciiTheme="minorEastAsia" w:hAnsiTheme="minorEastAsia" w:eastAsiaTheme="minorEastAsia" w:cstheme="minorEastAsia"/>
        </w:rPr>
        <w:t>重点</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本工程对环境污染的特点及周围环境特征，在详实、准确的工程分析基础上，重点对企业现状工程分析、企业选址、污染防治措施及其技术经济论证、污染物排放总量核算、存在的环保问题及解决方案、项目建设可行性进行分析论证。</w:t>
      </w:r>
    </w:p>
    <w:p>
      <w:pPr>
        <w:pStyle w:val="30"/>
        <w:spacing w:before="120" w:after="120"/>
        <w:rPr>
          <w:rFonts w:hint="eastAsia" w:asciiTheme="minorEastAsia" w:hAnsiTheme="minorEastAsia" w:eastAsiaTheme="minorEastAsia" w:cstheme="minorEastAsia"/>
        </w:rPr>
      </w:pPr>
      <w:bookmarkStart w:id="17" w:name="_Toc146436334"/>
      <w:bookmarkStart w:id="18" w:name="_Toc224440814"/>
      <w:bookmarkStart w:id="19" w:name="_Toc18436"/>
      <w:r>
        <w:rPr>
          <w:rFonts w:hint="eastAsia" w:asciiTheme="minorEastAsia" w:hAnsiTheme="minorEastAsia" w:eastAsiaTheme="minorEastAsia" w:cstheme="minorEastAsia"/>
        </w:rPr>
        <w:t>1.3</w:t>
      </w:r>
      <w:bookmarkEnd w:id="17"/>
      <w:bookmarkEnd w:id="18"/>
      <w:r>
        <w:rPr>
          <w:rFonts w:hint="eastAsia" w:asciiTheme="minorEastAsia" w:hAnsiTheme="minorEastAsia" w:eastAsiaTheme="minorEastAsia" w:cstheme="minorEastAsia"/>
        </w:rPr>
        <w:t>评估范围及重点保护目标</w:t>
      </w:r>
      <w:bookmarkEnd w:id="19"/>
    </w:p>
    <w:p>
      <w:pPr>
        <w:pStyle w:val="32"/>
        <w:spacing w:before="120" w:after="120"/>
        <w:rPr>
          <w:rFonts w:hint="eastAsia" w:asciiTheme="minorEastAsia" w:hAnsiTheme="minorEastAsia" w:eastAsiaTheme="minorEastAsia" w:cstheme="minorEastAsia"/>
        </w:rPr>
      </w:pPr>
      <w:bookmarkStart w:id="20" w:name="_Toc224440815"/>
      <w:r>
        <w:rPr>
          <w:rFonts w:hint="eastAsia" w:asciiTheme="minorEastAsia" w:hAnsiTheme="minorEastAsia" w:eastAsiaTheme="minorEastAsia" w:cstheme="minorEastAsia"/>
        </w:rPr>
        <w:t>1.3.1评估范围</w:t>
      </w:r>
      <w:bookmarkEnd w:id="2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根据建设项目污染物排放特点及当地气象条件、自然环境状况，确定各环境要素评估范围，见表1.3-1。</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表1.3-1  评价范围表</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6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trPr>
        <w:tc>
          <w:tcPr>
            <w:tcW w:w="1624" w:type="dxa"/>
            <w:vAlign w:val="center"/>
          </w:tcPr>
          <w:p>
            <w:pPr>
              <w:widowControl/>
              <w:adjustRightInd w:val="0"/>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评价环境要素</w:t>
            </w:r>
          </w:p>
        </w:tc>
        <w:tc>
          <w:tcPr>
            <w:tcW w:w="6678" w:type="dxa"/>
            <w:vAlign w:val="center"/>
          </w:tcPr>
          <w:p>
            <w:pPr>
              <w:widowControl/>
              <w:adjustRightInd w:val="0"/>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评 价 范 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1624"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大气环境</w:t>
            </w:r>
          </w:p>
        </w:tc>
        <w:tc>
          <w:tcPr>
            <w:tcW w:w="6678"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以项目所在地中心，半径2500m范围内区域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1624"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地表水环境</w:t>
            </w:r>
          </w:p>
        </w:tc>
        <w:tc>
          <w:tcPr>
            <w:tcW w:w="6678"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京杭运河及九曲河：污水处理厂尾水排放口上游500m至下游1000m范围河段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1624"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地下水环境</w:t>
            </w:r>
          </w:p>
        </w:tc>
        <w:tc>
          <w:tcPr>
            <w:tcW w:w="6678"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24"/>
                <w:sz w:val="24"/>
                <w:szCs w:val="24"/>
              </w:rPr>
              <w:t>项目所在地块及影响区域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1624"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噪声环境</w:t>
            </w:r>
          </w:p>
        </w:tc>
        <w:tc>
          <w:tcPr>
            <w:tcW w:w="6678"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项目用地红线外200米范围内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1624"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风险评价</w:t>
            </w:r>
          </w:p>
        </w:tc>
        <w:tc>
          <w:tcPr>
            <w:tcW w:w="6678" w:type="dxa"/>
            <w:vAlign w:val="center"/>
          </w:tcPr>
          <w:p>
            <w:pPr>
              <w:pStyle w:val="9"/>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以风险源为中心，半径3km范围内</w:t>
            </w:r>
          </w:p>
        </w:tc>
      </w:tr>
    </w:tbl>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1.3.2重点保护目标</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评价范围内环境保护目标见表1.3-2。</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表1.3-2  环境保护目标</w:t>
      </w:r>
    </w:p>
    <w:tbl>
      <w:tblPr>
        <w:tblStyle w:val="20"/>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2"/>
        <w:gridCol w:w="1953"/>
        <w:gridCol w:w="1131"/>
        <w:gridCol w:w="1274"/>
        <w:gridCol w:w="1413"/>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3" w:hRule="atLeast"/>
          <w:jc w:val="center"/>
        </w:trPr>
        <w:tc>
          <w:tcPr>
            <w:tcW w:w="1022"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环境要素</w:t>
            </w:r>
          </w:p>
        </w:tc>
        <w:tc>
          <w:tcPr>
            <w:tcW w:w="195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环境保护对象</w:t>
            </w:r>
          </w:p>
        </w:tc>
        <w:tc>
          <w:tcPr>
            <w:tcW w:w="1131"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方位</w:t>
            </w:r>
          </w:p>
        </w:tc>
        <w:tc>
          <w:tcPr>
            <w:tcW w:w="127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距离（m）</w:t>
            </w:r>
          </w:p>
        </w:tc>
        <w:tc>
          <w:tcPr>
            <w:tcW w:w="141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规模</w:t>
            </w:r>
          </w:p>
        </w:tc>
        <w:tc>
          <w:tcPr>
            <w:tcW w:w="1509"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9" w:hRule="atLeast"/>
          <w:jc w:val="center"/>
        </w:trPr>
        <w:tc>
          <w:tcPr>
            <w:tcW w:w="1022" w:type="dxa"/>
            <w:vMerge w:val="restart"/>
            <w:vAlign w:val="center"/>
          </w:tcPr>
          <w:p>
            <w:pPr>
              <w:pStyle w:val="3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大气</w:t>
            </w:r>
          </w:p>
          <w:p>
            <w:pPr>
              <w:pStyle w:val="3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环境</w:t>
            </w:r>
          </w:p>
        </w:tc>
        <w:tc>
          <w:tcPr>
            <w:tcW w:w="1953" w:type="dxa"/>
            <w:vAlign w:val="center"/>
          </w:tcPr>
          <w:p>
            <w:pPr>
              <w:pStyle w:val="34"/>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lang w:val="en-US" w:eastAsia="zh-CN"/>
              </w:rPr>
              <w:t>锦江花园</w:t>
            </w:r>
          </w:p>
        </w:tc>
        <w:tc>
          <w:tcPr>
            <w:tcW w:w="1131" w:type="dxa"/>
            <w:vAlign w:val="center"/>
          </w:tcPr>
          <w:p>
            <w:pPr>
              <w:pStyle w:val="34"/>
              <w:rPr>
                <w:rFonts w:hint="eastAsia" w:asciiTheme="minorEastAsia" w:hAnsiTheme="minorEastAsia" w:eastAsiaTheme="minorEastAsia" w:cstheme="minorEastAsia"/>
                <w:szCs w:val="24"/>
                <w:highlight w:val="none"/>
                <w:lang w:eastAsia="zh-CN"/>
              </w:rPr>
            </w:pPr>
            <w:r>
              <w:rPr>
                <w:rFonts w:hint="eastAsia" w:asciiTheme="minorEastAsia" w:hAnsiTheme="minorEastAsia" w:eastAsiaTheme="minorEastAsia" w:cstheme="minorEastAsia"/>
                <w:szCs w:val="24"/>
                <w:highlight w:val="none"/>
                <w:lang w:val="en-US" w:eastAsia="zh-CN"/>
              </w:rPr>
              <w:t>西北</w:t>
            </w:r>
          </w:p>
        </w:tc>
        <w:tc>
          <w:tcPr>
            <w:tcW w:w="1274"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w:t>
            </w:r>
            <w:r>
              <w:rPr>
                <w:rFonts w:hint="eastAsia" w:asciiTheme="minorEastAsia" w:hAnsiTheme="minorEastAsia" w:eastAsiaTheme="minorEastAsia" w:cstheme="minorEastAsia"/>
                <w:szCs w:val="24"/>
                <w:highlight w:val="none"/>
              </w:rPr>
              <w:t>100</w:t>
            </w:r>
            <w:r>
              <w:rPr>
                <w:rFonts w:hint="eastAsia" w:asciiTheme="minorEastAsia" w:hAnsiTheme="minorEastAsia" w:eastAsiaTheme="minorEastAsia" w:cstheme="minorEastAsia"/>
                <w:szCs w:val="24"/>
                <w:highlight w:val="none"/>
                <w:lang w:val="en-US" w:eastAsia="zh-CN"/>
              </w:rPr>
              <w:t>0</w:t>
            </w:r>
          </w:p>
        </w:tc>
        <w:tc>
          <w:tcPr>
            <w:tcW w:w="1413"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c>
          <w:tcPr>
            <w:tcW w:w="1509" w:type="dxa"/>
            <w:vAlign w:val="center"/>
          </w:tcPr>
          <w:p>
            <w:pPr>
              <w:pStyle w:val="3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9" w:hRule="atLeast"/>
          <w:jc w:val="center"/>
        </w:trPr>
        <w:tc>
          <w:tcPr>
            <w:tcW w:w="1022" w:type="dxa"/>
            <w:vMerge w:val="continue"/>
            <w:vAlign w:val="center"/>
          </w:tcPr>
          <w:p>
            <w:pPr>
              <w:pStyle w:val="37"/>
              <w:rPr>
                <w:rFonts w:hint="eastAsia" w:asciiTheme="minorEastAsia" w:hAnsiTheme="minorEastAsia" w:eastAsiaTheme="minorEastAsia" w:cstheme="minorEastAsia"/>
                <w:color w:val="auto"/>
                <w:szCs w:val="24"/>
                <w:highlight w:val="none"/>
              </w:rPr>
            </w:pPr>
          </w:p>
        </w:tc>
        <w:tc>
          <w:tcPr>
            <w:tcW w:w="1953" w:type="dxa"/>
            <w:vAlign w:val="center"/>
          </w:tcPr>
          <w:p>
            <w:pPr>
              <w:pStyle w:val="34"/>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lang w:val="en-US" w:eastAsia="zh-CN"/>
              </w:rPr>
              <w:t>御河熙岸</w:t>
            </w:r>
          </w:p>
        </w:tc>
        <w:tc>
          <w:tcPr>
            <w:tcW w:w="1131" w:type="dxa"/>
            <w:vAlign w:val="center"/>
          </w:tcPr>
          <w:p>
            <w:pPr>
              <w:pStyle w:val="34"/>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lang w:val="en-US" w:eastAsia="zh-CN"/>
              </w:rPr>
              <w:t>西</w:t>
            </w:r>
          </w:p>
        </w:tc>
        <w:tc>
          <w:tcPr>
            <w:tcW w:w="1274"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w:t>
            </w:r>
            <w:r>
              <w:rPr>
                <w:rFonts w:hint="eastAsia" w:asciiTheme="minorEastAsia" w:hAnsiTheme="minorEastAsia" w:eastAsiaTheme="minorEastAsia" w:cstheme="minorEastAsia"/>
                <w:szCs w:val="24"/>
                <w:highlight w:val="none"/>
              </w:rPr>
              <w:t>0</w:t>
            </w:r>
            <w:r>
              <w:rPr>
                <w:rFonts w:hint="eastAsia" w:asciiTheme="minorEastAsia" w:hAnsiTheme="minorEastAsia" w:eastAsiaTheme="minorEastAsia" w:cstheme="minorEastAsia"/>
                <w:szCs w:val="24"/>
                <w:highlight w:val="none"/>
                <w:lang w:val="en-US" w:eastAsia="zh-CN"/>
              </w:rPr>
              <w:t>0</w:t>
            </w:r>
          </w:p>
        </w:tc>
        <w:tc>
          <w:tcPr>
            <w:tcW w:w="1413"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c>
          <w:tcPr>
            <w:tcW w:w="1509" w:type="dxa"/>
            <w:vAlign w:val="center"/>
          </w:tcPr>
          <w:p>
            <w:pPr>
              <w:pStyle w:val="3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9" w:hRule="atLeast"/>
          <w:jc w:val="center"/>
        </w:trPr>
        <w:tc>
          <w:tcPr>
            <w:tcW w:w="1022" w:type="dxa"/>
            <w:vMerge w:val="continue"/>
            <w:vAlign w:val="center"/>
          </w:tcPr>
          <w:p>
            <w:pPr>
              <w:pStyle w:val="37"/>
              <w:rPr>
                <w:rFonts w:hint="eastAsia" w:asciiTheme="minorEastAsia" w:hAnsiTheme="minorEastAsia" w:eastAsiaTheme="minorEastAsia" w:cstheme="minorEastAsia"/>
                <w:color w:val="auto"/>
                <w:szCs w:val="24"/>
                <w:highlight w:val="none"/>
              </w:rPr>
            </w:pPr>
          </w:p>
        </w:tc>
        <w:tc>
          <w:tcPr>
            <w:tcW w:w="1953" w:type="dxa"/>
            <w:vAlign w:val="center"/>
          </w:tcPr>
          <w:p>
            <w:pPr>
              <w:pStyle w:val="34"/>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lang w:val="en-US" w:eastAsia="zh-CN"/>
              </w:rPr>
              <w:t>东南新城</w:t>
            </w:r>
          </w:p>
        </w:tc>
        <w:tc>
          <w:tcPr>
            <w:tcW w:w="1131"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西</w:t>
            </w:r>
          </w:p>
        </w:tc>
        <w:tc>
          <w:tcPr>
            <w:tcW w:w="1274"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w:t>
            </w:r>
            <w:r>
              <w:rPr>
                <w:rFonts w:hint="eastAsia" w:asciiTheme="minorEastAsia" w:hAnsiTheme="minorEastAsia" w:eastAsiaTheme="minorEastAsia" w:cstheme="minorEastAsia"/>
                <w:szCs w:val="24"/>
                <w:highlight w:val="none"/>
              </w:rPr>
              <w:t>0</w:t>
            </w:r>
            <w:r>
              <w:rPr>
                <w:rFonts w:hint="eastAsia" w:asciiTheme="minorEastAsia" w:hAnsiTheme="minorEastAsia" w:eastAsiaTheme="minorEastAsia" w:cstheme="minorEastAsia"/>
                <w:szCs w:val="24"/>
                <w:highlight w:val="none"/>
                <w:lang w:val="en-US" w:eastAsia="zh-CN"/>
              </w:rPr>
              <w:t>0</w:t>
            </w:r>
          </w:p>
        </w:tc>
        <w:tc>
          <w:tcPr>
            <w:tcW w:w="1413"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c>
          <w:tcPr>
            <w:tcW w:w="1509" w:type="dxa"/>
            <w:vAlign w:val="center"/>
          </w:tcPr>
          <w:p>
            <w:pPr>
              <w:pStyle w:val="3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 w:hRule="atLeast"/>
          <w:jc w:val="center"/>
        </w:trPr>
        <w:tc>
          <w:tcPr>
            <w:tcW w:w="1022"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水环境</w:t>
            </w:r>
          </w:p>
        </w:tc>
        <w:tc>
          <w:tcPr>
            <w:tcW w:w="195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京杭运河</w:t>
            </w:r>
          </w:p>
        </w:tc>
        <w:tc>
          <w:tcPr>
            <w:tcW w:w="113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西</w:t>
            </w:r>
          </w:p>
        </w:tc>
        <w:tc>
          <w:tcPr>
            <w:tcW w:w="1274"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≥3000</w:t>
            </w:r>
          </w:p>
        </w:tc>
        <w:tc>
          <w:tcPr>
            <w:tcW w:w="141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中型河流</w:t>
            </w:r>
          </w:p>
        </w:tc>
        <w:tc>
          <w:tcPr>
            <w:tcW w:w="1509"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 w:hRule="atLeast"/>
          <w:jc w:val="center"/>
        </w:trPr>
        <w:tc>
          <w:tcPr>
            <w:tcW w:w="1022" w:type="dxa"/>
            <w:vMerge w:val="continue"/>
            <w:vAlign w:val="center"/>
          </w:tcPr>
          <w:p>
            <w:pPr>
              <w:jc w:val="center"/>
              <w:rPr>
                <w:rFonts w:hint="eastAsia" w:asciiTheme="minorEastAsia" w:hAnsiTheme="minorEastAsia" w:eastAsiaTheme="minorEastAsia" w:cstheme="minorEastAsia"/>
                <w:sz w:val="24"/>
              </w:rPr>
            </w:pPr>
          </w:p>
        </w:tc>
        <w:tc>
          <w:tcPr>
            <w:tcW w:w="195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九曲河</w:t>
            </w:r>
          </w:p>
        </w:tc>
        <w:tc>
          <w:tcPr>
            <w:tcW w:w="113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北</w:t>
            </w:r>
          </w:p>
        </w:tc>
        <w:tc>
          <w:tcPr>
            <w:tcW w:w="1274"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≥200</w:t>
            </w:r>
          </w:p>
        </w:tc>
        <w:tc>
          <w:tcPr>
            <w:tcW w:w="141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中型河流</w:t>
            </w:r>
          </w:p>
        </w:tc>
        <w:tc>
          <w:tcPr>
            <w:tcW w:w="1509"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 w:hRule="atLeast"/>
          <w:jc w:val="center"/>
        </w:trPr>
        <w:tc>
          <w:tcPr>
            <w:tcW w:w="1022"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声环境</w:t>
            </w:r>
          </w:p>
        </w:tc>
        <w:tc>
          <w:tcPr>
            <w:tcW w:w="1953"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锦江花园</w:t>
            </w:r>
          </w:p>
        </w:tc>
        <w:tc>
          <w:tcPr>
            <w:tcW w:w="1131"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西北</w:t>
            </w:r>
          </w:p>
        </w:tc>
        <w:tc>
          <w:tcPr>
            <w:tcW w:w="1274"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w:t>
            </w:r>
            <w:r>
              <w:rPr>
                <w:rFonts w:hint="eastAsia" w:asciiTheme="minorEastAsia" w:hAnsiTheme="minorEastAsia" w:eastAsiaTheme="minorEastAsia" w:cstheme="minorEastAsia"/>
                <w:szCs w:val="24"/>
                <w:highlight w:val="none"/>
              </w:rPr>
              <w:t>100</w:t>
            </w:r>
            <w:r>
              <w:rPr>
                <w:rFonts w:hint="eastAsia" w:asciiTheme="minorEastAsia" w:hAnsiTheme="minorEastAsia" w:eastAsiaTheme="minorEastAsia" w:cstheme="minorEastAsia"/>
                <w:szCs w:val="24"/>
                <w:highlight w:val="none"/>
                <w:lang w:val="en-US" w:eastAsia="zh-CN"/>
              </w:rPr>
              <w:t>0</w:t>
            </w:r>
          </w:p>
        </w:tc>
        <w:tc>
          <w:tcPr>
            <w:tcW w:w="1413"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c>
          <w:tcPr>
            <w:tcW w:w="1509"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 w:hRule="atLeast"/>
          <w:jc w:val="center"/>
        </w:trPr>
        <w:tc>
          <w:tcPr>
            <w:tcW w:w="1022" w:type="dxa"/>
            <w:vMerge w:val="continue"/>
            <w:vAlign w:val="center"/>
          </w:tcPr>
          <w:p>
            <w:pPr>
              <w:pStyle w:val="37"/>
              <w:rPr>
                <w:rFonts w:hint="eastAsia" w:asciiTheme="minorEastAsia" w:hAnsiTheme="minorEastAsia" w:eastAsiaTheme="minorEastAsia" w:cstheme="minorEastAsia"/>
                <w:color w:val="auto"/>
                <w:szCs w:val="24"/>
              </w:rPr>
            </w:pPr>
          </w:p>
        </w:tc>
        <w:tc>
          <w:tcPr>
            <w:tcW w:w="1953"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御河熙岸</w:t>
            </w:r>
          </w:p>
        </w:tc>
        <w:tc>
          <w:tcPr>
            <w:tcW w:w="1131"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西</w:t>
            </w:r>
          </w:p>
        </w:tc>
        <w:tc>
          <w:tcPr>
            <w:tcW w:w="1274"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w:t>
            </w:r>
            <w:r>
              <w:rPr>
                <w:rFonts w:hint="eastAsia" w:asciiTheme="minorEastAsia" w:hAnsiTheme="minorEastAsia" w:eastAsiaTheme="minorEastAsia" w:cstheme="minorEastAsia"/>
                <w:szCs w:val="24"/>
                <w:highlight w:val="none"/>
              </w:rPr>
              <w:t>0</w:t>
            </w:r>
            <w:r>
              <w:rPr>
                <w:rFonts w:hint="eastAsia" w:asciiTheme="minorEastAsia" w:hAnsiTheme="minorEastAsia" w:eastAsiaTheme="minorEastAsia" w:cstheme="minorEastAsia"/>
                <w:szCs w:val="24"/>
                <w:highlight w:val="none"/>
                <w:lang w:val="en-US" w:eastAsia="zh-CN"/>
              </w:rPr>
              <w:t>0</w:t>
            </w:r>
          </w:p>
        </w:tc>
        <w:tc>
          <w:tcPr>
            <w:tcW w:w="1413"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c>
          <w:tcPr>
            <w:tcW w:w="1509"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 w:hRule="atLeast"/>
          <w:jc w:val="center"/>
        </w:trPr>
        <w:tc>
          <w:tcPr>
            <w:tcW w:w="1022" w:type="dxa"/>
            <w:vMerge w:val="continue"/>
            <w:vAlign w:val="center"/>
          </w:tcPr>
          <w:p>
            <w:pPr>
              <w:pStyle w:val="37"/>
              <w:rPr>
                <w:rFonts w:hint="eastAsia" w:asciiTheme="minorEastAsia" w:hAnsiTheme="minorEastAsia" w:eastAsiaTheme="minorEastAsia" w:cstheme="minorEastAsia"/>
                <w:color w:val="auto"/>
                <w:szCs w:val="24"/>
              </w:rPr>
            </w:pPr>
          </w:p>
        </w:tc>
        <w:tc>
          <w:tcPr>
            <w:tcW w:w="1953"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东南新城</w:t>
            </w:r>
          </w:p>
        </w:tc>
        <w:tc>
          <w:tcPr>
            <w:tcW w:w="1131"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西</w:t>
            </w:r>
          </w:p>
        </w:tc>
        <w:tc>
          <w:tcPr>
            <w:tcW w:w="1274"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w:t>
            </w:r>
            <w:r>
              <w:rPr>
                <w:rFonts w:hint="eastAsia" w:asciiTheme="minorEastAsia" w:hAnsiTheme="minorEastAsia" w:eastAsiaTheme="minorEastAsia" w:cstheme="minorEastAsia"/>
                <w:szCs w:val="24"/>
                <w:highlight w:val="none"/>
              </w:rPr>
              <w:t>0</w:t>
            </w:r>
            <w:r>
              <w:rPr>
                <w:rFonts w:hint="eastAsia" w:asciiTheme="minorEastAsia" w:hAnsiTheme="minorEastAsia" w:eastAsiaTheme="minorEastAsia" w:cstheme="minorEastAsia"/>
                <w:szCs w:val="24"/>
                <w:highlight w:val="none"/>
                <w:lang w:val="en-US" w:eastAsia="zh-CN"/>
              </w:rPr>
              <w:t>0</w:t>
            </w:r>
          </w:p>
        </w:tc>
        <w:tc>
          <w:tcPr>
            <w:tcW w:w="1413" w:type="dxa"/>
            <w:textDirection w:val="lrTb"/>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lang w:val="en-US" w:eastAsia="zh-CN"/>
              </w:rPr>
              <w:t>80</w:t>
            </w:r>
            <w:r>
              <w:rPr>
                <w:rFonts w:hint="eastAsia" w:asciiTheme="minorEastAsia" w:hAnsiTheme="minorEastAsia" w:eastAsiaTheme="minorEastAsia" w:cstheme="minorEastAsia"/>
                <w:szCs w:val="24"/>
                <w:highlight w:val="none"/>
              </w:rPr>
              <w:t>户</w:t>
            </w:r>
          </w:p>
        </w:tc>
        <w:tc>
          <w:tcPr>
            <w:tcW w:w="1509" w:type="dxa"/>
            <w:vAlign w:val="center"/>
          </w:tcPr>
          <w:p>
            <w:pPr>
              <w:pStyle w:val="34"/>
              <w:rPr>
                <w:rFonts w:hint="eastAsia"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 w:hRule="atLeast"/>
          <w:jc w:val="center"/>
        </w:trPr>
        <w:tc>
          <w:tcPr>
            <w:tcW w:w="1022" w:type="dxa"/>
            <w:textDirection w:val="lrTb"/>
            <w:vAlign w:val="center"/>
          </w:tcPr>
          <w:p>
            <w:pPr>
              <w:pStyle w:val="34"/>
              <w:tabs>
                <w:tab w:val="left" w:pos="180"/>
              </w:tabs>
              <w:rPr>
                <w:rFonts w:hint="eastAsia" w:asciiTheme="minorEastAsia" w:hAnsiTheme="minorEastAsia" w:eastAsiaTheme="minorEastAsia" w:cstheme="minorEastAsia"/>
                <w:color w:val="auto"/>
                <w:szCs w:val="24"/>
              </w:rPr>
            </w:pPr>
            <w:r>
              <w:rPr>
                <w:rFonts w:ascii="Times New Roman" w:eastAsia="宋体"/>
                <w:sz w:val="24"/>
                <w:szCs w:val="24"/>
              </w:rPr>
              <w:t>生态环境</w:t>
            </w:r>
          </w:p>
        </w:tc>
        <w:tc>
          <w:tcPr>
            <w:tcW w:w="1953" w:type="dxa"/>
            <w:textDirection w:val="lrTb"/>
            <w:vAlign w:val="center"/>
          </w:tcPr>
          <w:p>
            <w:pPr>
              <w:pStyle w:val="34"/>
              <w:tabs>
                <w:tab w:val="left" w:pos="180"/>
              </w:tabs>
              <w:rPr>
                <w:rFonts w:hint="eastAsia" w:asciiTheme="minorEastAsia" w:hAnsiTheme="minorEastAsia" w:eastAsiaTheme="minorEastAsia" w:cstheme="minorEastAsia"/>
                <w:szCs w:val="24"/>
                <w:highlight w:val="none"/>
                <w:lang w:val="en-US" w:eastAsia="zh-CN"/>
              </w:rPr>
            </w:pPr>
            <w:r>
              <w:rPr>
                <w:rFonts w:ascii="Times New Roman" w:eastAsia="宋体"/>
                <w:sz w:val="24"/>
                <w:szCs w:val="24"/>
              </w:rPr>
              <w:t>京杭大运河（丹阳市）洪水调蓄区</w:t>
            </w:r>
          </w:p>
        </w:tc>
        <w:tc>
          <w:tcPr>
            <w:tcW w:w="1131" w:type="dxa"/>
            <w:textDirection w:val="lrTb"/>
            <w:vAlign w:val="center"/>
          </w:tcPr>
          <w:p>
            <w:pPr>
              <w:pStyle w:val="34"/>
              <w:tabs>
                <w:tab w:val="left" w:pos="180"/>
              </w:tabs>
              <w:jc w:val="center"/>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lang w:val="en-US" w:eastAsia="zh-CN"/>
              </w:rPr>
              <w:t>西</w:t>
            </w:r>
          </w:p>
        </w:tc>
        <w:tc>
          <w:tcPr>
            <w:tcW w:w="1274" w:type="dxa"/>
            <w:textDirection w:val="lrTb"/>
            <w:vAlign w:val="center"/>
          </w:tcPr>
          <w:p>
            <w:pPr>
              <w:pStyle w:val="34"/>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lang w:val="en-US" w:eastAsia="zh-CN"/>
              </w:rPr>
              <w:t>20</w:t>
            </w:r>
            <w:r>
              <w:rPr>
                <w:rFonts w:hint="eastAsia" w:asciiTheme="minorEastAsia" w:hAnsiTheme="minorEastAsia" w:eastAsiaTheme="minorEastAsia" w:cstheme="minorEastAsia"/>
                <w:szCs w:val="24"/>
                <w:highlight w:val="none"/>
              </w:rPr>
              <w:t>00</w:t>
            </w:r>
          </w:p>
        </w:tc>
        <w:tc>
          <w:tcPr>
            <w:tcW w:w="1413" w:type="dxa"/>
            <w:textDirection w:val="lrTb"/>
            <w:vAlign w:val="center"/>
          </w:tcPr>
          <w:p>
            <w:pPr>
              <w:pStyle w:val="34"/>
              <w:rPr>
                <w:rFonts w:hint="eastAsia" w:asciiTheme="minorEastAsia" w:hAnsiTheme="minorEastAsia" w:eastAsiaTheme="minorEastAsia" w:cstheme="minorEastAsia"/>
                <w:szCs w:val="24"/>
                <w:highlight w:val="none"/>
                <w:lang w:val="en-US" w:eastAsia="zh-CN"/>
              </w:rPr>
            </w:pPr>
            <w:r>
              <w:rPr>
                <w:rFonts w:hint="eastAsia" w:asciiTheme="minorEastAsia" w:hAnsiTheme="minorEastAsia" w:eastAsiaTheme="minorEastAsia" w:cstheme="minorEastAsia"/>
                <w:szCs w:val="24"/>
                <w:highlight w:val="none"/>
              </w:rPr>
              <w:t>总面积11.19km</w:t>
            </w:r>
            <w:r>
              <w:rPr>
                <w:rFonts w:hint="eastAsia" w:asciiTheme="minorEastAsia" w:hAnsiTheme="minorEastAsia" w:eastAsiaTheme="minorEastAsia" w:cstheme="minorEastAsia"/>
                <w:szCs w:val="24"/>
                <w:highlight w:val="none"/>
                <w:vertAlign w:val="superscript"/>
              </w:rPr>
              <w:t>2</w:t>
            </w:r>
          </w:p>
        </w:tc>
        <w:tc>
          <w:tcPr>
            <w:tcW w:w="1509" w:type="dxa"/>
            <w:textDirection w:val="lrTb"/>
            <w:vAlign w:val="center"/>
          </w:tcPr>
          <w:p>
            <w:pPr>
              <w:pStyle w:val="34"/>
              <w:tabs>
                <w:tab w:val="left" w:pos="180"/>
              </w:tabs>
              <w:rPr>
                <w:rFonts w:ascii="Times New Roman" w:hAnsi="Times New Roman" w:eastAsia="宋体"/>
                <w:sz w:val="24"/>
                <w:szCs w:val="24"/>
              </w:rPr>
            </w:pPr>
            <w:r>
              <w:rPr>
                <w:rFonts w:ascii="Times New Roman" w:eastAsia="宋体"/>
                <w:sz w:val="24"/>
                <w:szCs w:val="24"/>
              </w:rPr>
              <w:t>洪水调蓄区</w:t>
            </w:r>
          </w:p>
          <w:p>
            <w:pPr>
              <w:pStyle w:val="34"/>
              <w:tabs>
                <w:tab w:val="left" w:pos="180"/>
              </w:tabs>
              <w:rPr>
                <w:rFonts w:hint="eastAsia" w:asciiTheme="minorEastAsia" w:hAnsiTheme="minorEastAsia" w:eastAsiaTheme="minorEastAsia" w:cstheme="minorEastAsia"/>
                <w:szCs w:val="24"/>
                <w:highlight w:val="none"/>
              </w:rPr>
            </w:pPr>
            <w:r>
              <w:rPr>
                <w:rFonts w:ascii="Times New Roman" w:eastAsia="宋体"/>
                <w:sz w:val="24"/>
                <w:szCs w:val="24"/>
              </w:rPr>
              <w:t>二级管控区</w:t>
            </w:r>
          </w:p>
        </w:tc>
      </w:tr>
    </w:tbl>
    <w:p>
      <w:pPr>
        <w:pStyle w:val="30"/>
        <w:spacing w:before="120" w:after="120"/>
        <w:rPr>
          <w:rFonts w:hint="eastAsia" w:asciiTheme="minorEastAsia" w:hAnsiTheme="minorEastAsia" w:eastAsiaTheme="minorEastAsia" w:cstheme="minorEastAsia"/>
        </w:rPr>
      </w:pPr>
      <w:bookmarkStart w:id="21" w:name="_Toc3962"/>
      <w:r>
        <w:rPr>
          <w:rFonts w:hint="eastAsia" w:asciiTheme="minorEastAsia" w:hAnsiTheme="minorEastAsia" w:eastAsiaTheme="minorEastAsia" w:cstheme="minorEastAsia"/>
        </w:rPr>
        <w:t>1.4环境影响识别和评估因子筛选</w:t>
      </w:r>
      <w:bookmarkEnd w:id="21"/>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1.4.1环境影响识别</w:t>
      </w:r>
    </w:p>
    <w:p>
      <w:pPr>
        <w:pStyle w:val="13"/>
        <w:ind w:firstLine="560" w:firstLineChars="200"/>
        <w:rPr>
          <w:rFonts w:ascii="Times New Roman" w:hAnsi="Times New Roman" w:eastAsia="宋体"/>
          <w:color w:val="auto"/>
          <w:sz w:val="28"/>
          <w:szCs w:val="28"/>
        </w:rPr>
      </w:pPr>
      <w:r>
        <w:rPr>
          <w:rFonts w:ascii="Times New Roman" w:hAnsi="宋体" w:eastAsia="宋体"/>
          <w:color w:val="auto"/>
          <w:sz w:val="28"/>
          <w:szCs w:val="28"/>
        </w:rPr>
        <w:t>根据项目的排污特点及所处自然、社会环境特征，运营期过程中环境影响因素识别见下表</w:t>
      </w:r>
      <w:r>
        <w:rPr>
          <w:rFonts w:hint="eastAsia" w:ascii="Times New Roman" w:hAnsi="宋体" w:eastAsia="宋体"/>
          <w:color w:val="auto"/>
          <w:sz w:val="28"/>
          <w:szCs w:val="28"/>
        </w:rPr>
        <w:t>1.4-1</w:t>
      </w:r>
      <w:r>
        <w:rPr>
          <w:rFonts w:ascii="Times New Roman" w:hAnsi="宋体" w:eastAsia="宋体"/>
          <w:color w:val="auto"/>
          <w:sz w:val="28"/>
          <w:szCs w:val="28"/>
        </w:rPr>
        <w:t>。</w:t>
      </w:r>
    </w:p>
    <w:p>
      <w:pPr>
        <w:pStyle w:val="13"/>
        <w:ind w:firstLine="0"/>
        <w:jc w:val="center"/>
        <w:rPr>
          <w:rFonts w:ascii="Times New Roman" w:hAnsi="Times New Roman" w:eastAsia="宋体"/>
          <w:color w:val="auto"/>
          <w:sz w:val="28"/>
          <w:szCs w:val="28"/>
        </w:rPr>
      </w:pPr>
      <w:r>
        <w:rPr>
          <w:rFonts w:ascii="Times New Roman" w:hAnsi="宋体" w:eastAsia="宋体"/>
          <w:color w:val="auto"/>
          <w:sz w:val="28"/>
          <w:szCs w:val="28"/>
        </w:rPr>
        <w:t>表</w:t>
      </w:r>
      <w:r>
        <w:rPr>
          <w:rFonts w:hint="eastAsia" w:ascii="Times New Roman" w:hAnsi="Times New Roman" w:eastAsia="宋体"/>
          <w:color w:val="auto"/>
          <w:sz w:val="28"/>
          <w:szCs w:val="28"/>
        </w:rPr>
        <w:t xml:space="preserve">1.4-1  </w:t>
      </w:r>
      <w:r>
        <w:rPr>
          <w:rFonts w:ascii="Times New Roman" w:hAnsi="宋体" w:eastAsia="宋体"/>
          <w:color w:val="auto"/>
          <w:sz w:val="28"/>
          <w:szCs w:val="28"/>
        </w:rPr>
        <w:t>运营期主要环境影响因素识别</w:t>
      </w:r>
    </w:p>
    <w:tbl>
      <w:tblPr>
        <w:tblStyle w:val="20"/>
        <w:tblW w:w="918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7"/>
        <w:gridCol w:w="3980"/>
        <w:gridCol w:w="40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117" w:type="dxa"/>
            <w:tcMar>
              <w:left w:w="57" w:type="dxa"/>
              <w:right w:w="57" w:type="dxa"/>
            </w:tcMar>
            <w:vAlign w:val="center"/>
          </w:tcPr>
          <w:p>
            <w:pPr>
              <w:spacing w:line="0" w:lineRule="atLeast"/>
              <w:jc w:val="center"/>
              <w:rPr>
                <w:sz w:val="24"/>
              </w:rPr>
            </w:pPr>
            <w:r>
              <w:rPr>
                <w:sz w:val="24"/>
              </w:rPr>
              <w:t>环境要素</w:t>
            </w:r>
          </w:p>
        </w:tc>
        <w:tc>
          <w:tcPr>
            <w:tcW w:w="3980" w:type="dxa"/>
            <w:tcMar>
              <w:left w:w="57" w:type="dxa"/>
              <w:right w:w="57" w:type="dxa"/>
            </w:tcMar>
            <w:vAlign w:val="center"/>
          </w:tcPr>
          <w:p>
            <w:pPr>
              <w:spacing w:line="0" w:lineRule="atLeast"/>
              <w:jc w:val="center"/>
              <w:rPr>
                <w:sz w:val="24"/>
              </w:rPr>
            </w:pPr>
            <w:r>
              <w:rPr>
                <w:sz w:val="24"/>
              </w:rPr>
              <w:t>主要污染源</w:t>
            </w:r>
          </w:p>
        </w:tc>
        <w:tc>
          <w:tcPr>
            <w:tcW w:w="4087" w:type="dxa"/>
            <w:tcMar>
              <w:left w:w="57" w:type="dxa"/>
              <w:right w:w="57" w:type="dxa"/>
            </w:tcMar>
            <w:vAlign w:val="center"/>
          </w:tcPr>
          <w:p>
            <w:pPr>
              <w:spacing w:line="0" w:lineRule="atLeast"/>
              <w:jc w:val="center"/>
              <w:rPr>
                <w:sz w:val="24"/>
              </w:rPr>
            </w:pPr>
            <w:r>
              <w:rPr>
                <w:sz w:val="24"/>
              </w:rPr>
              <w:t>主要影响因子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trPr>
        <w:tc>
          <w:tcPr>
            <w:tcW w:w="1117" w:type="dxa"/>
            <w:tcMar>
              <w:left w:w="57" w:type="dxa"/>
              <w:right w:w="57" w:type="dxa"/>
            </w:tcMar>
            <w:vAlign w:val="center"/>
          </w:tcPr>
          <w:p>
            <w:pPr>
              <w:spacing w:line="0" w:lineRule="atLeast"/>
              <w:jc w:val="center"/>
              <w:rPr>
                <w:sz w:val="24"/>
              </w:rPr>
            </w:pPr>
            <w:r>
              <w:rPr>
                <w:sz w:val="24"/>
              </w:rPr>
              <w:t>环境空气</w:t>
            </w:r>
          </w:p>
        </w:tc>
        <w:tc>
          <w:tcPr>
            <w:tcW w:w="3980" w:type="dxa"/>
            <w:tcMar>
              <w:left w:w="57" w:type="dxa"/>
              <w:right w:w="57" w:type="dxa"/>
            </w:tcMar>
            <w:vAlign w:val="center"/>
          </w:tcPr>
          <w:p>
            <w:pPr>
              <w:spacing w:line="0" w:lineRule="atLeast"/>
              <w:jc w:val="center"/>
              <w:rPr>
                <w:rFonts w:hint="eastAsia"/>
                <w:sz w:val="24"/>
              </w:rPr>
            </w:pPr>
            <w:r>
              <w:rPr>
                <w:rFonts w:hint="eastAsia"/>
                <w:sz w:val="24"/>
              </w:rPr>
              <w:t>颗粒物、</w:t>
            </w:r>
            <w:r>
              <w:rPr>
                <w:rFonts w:hint="eastAsia"/>
                <w:sz w:val="24"/>
                <w:lang w:val="en-US" w:eastAsia="zh-CN"/>
              </w:rPr>
              <w:t>甲醛、非甲烷总烃、SO</w:t>
            </w:r>
            <w:r>
              <w:rPr>
                <w:rFonts w:hint="eastAsia"/>
                <w:sz w:val="24"/>
                <w:vertAlign w:val="subscript"/>
                <w:lang w:val="en-US" w:eastAsia="zh-CN"/>
              </w:rPr>
              <w:t>2</w:t>
            </w:r>
            <w:r>
              <w:rPr>
                <w:rFonts w:hint="eastAsia"/>
                <w:sz w:val="24"/>
                <w:lang w:val="en-US" w:eastAsia="zh-CN"/>
              </w:rPr>
              <w:t>、NO</w:t>
            </w:r>
            <w:r>
              <w:rPr>
                <w:rFonts w:hint="eastAsia"/>
                <w:sz w:val="24"/>
                <w:vertAlign w:val="subscript"/>
                <w:lang w:val="en-US" w:eastAsia="zh-CN"/>
              </w:rPr>
              <w:t>x</w:t>
            </w:r>
          </w:p>
        </w:tc>
        <w:tc>
          <w:tcPr>
            <w:tcW w:w="4087" w:type="dxa"/>
            <w:tcMar>
              <w:left w:w="57" w:type="dxa"/>
              <w:right w:w="57" w:type="dxa"/>
            </w:tcMar>
            <w:vAlign w:val="center"/>
          </w:tcPr>
          <w:p>
            <w:pPr>
              <w:spacing w:line="0" w:lineRule="atLeast"/>
              <w:jc w:val="center"/>
              <w:rPr>
                <w:sz w:val="24"/>
              </w:rPr>
            </w:pPr>
            <w:r>
              <w:rPr>
                <w:rFonts w:hint="eastAsia"/>
                <w:sz w:val="24"/>
              </w:rPr>
              <w:t>颗粒物、</w:t>
            </w:r>
            <w:r>
              <w:rPr>
                <w:rFonts w:hint="eastAsia"/>
                <w:sz w:val="24"/>
                <w:lang w:val="en-US" w:eastAsia="zh-CN"/>
              </w:rPr>
              <w:t>甲醛、非甲烷总烃、SO</w:t>
            </w:r>
            <w:r>
              <w:rPr>
                <w:rFonts w:hint="eastAsia"/>
                <w:sz w:val="24"/>
                <w:vertAlign w:val="subscript"/>
                <w:lang w:val="en-US" w:eastAsia="zh-CN"/>
              </w:rPr>
              <w:t>2</w:t>
            </w:r>
            <w:r>
              <w:rPr>
                <w:rFonts w:hint="eastAsia"/>
                <w:sz w:val="24"/>
                <w:lang w:val="en-US" w:eastAsia="zh-CN"/>
              </w:rPr>
              <w:t>、NO</w:t>
            </w:r>
            <w:r>
              <w:rPr>
                <w:rFonts w:hint="eastAsia"/>
                <w:sz w:val="24"/>
                <w:vertAlign w:val="subscript"/>
                <w:lang w:val="en-US" w:eastAsia="zh-CN"/>
              </w:rPr>
              <w:t>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117" w:type="dxa"/>
            <w:tcMar>
              <w:left w:w="57" w:type="dxa"/>
              <w:right w:w="57" w:type="dxa"/>
            </w:tcMar>
            <w:vAlign w:val="center"/>
          </w:tcPr>
          <w:p>
            <w:pPr>
              <w:spacing w:line="0" w:lineRule="atLeast"/>
              <w:jc w:val="center"/>
              <w:rPr>
                <w:sz w:val="24"/>
              </w:rPr>
            </w:pPr>
            <w:r>
              <w:rPr>
                <w:sz w:val="24"/>
              </w:rPr>
              <w:t>地表水</w:t>
            </w:r>
          </w:p>
        </w:tc>
        <w:tc>
          <w:tcPr>
            <w:tcW w:w="3980" w:type="dxa"/>
            <w:tcMar>
              <w:left w:w="57" w:type="dxa"/>
              <w:right w:w="57" w:type="dxa"/>
            </w:tcMar>
            <w:vAlign w:val="center"/>
          </w:tcPr>
          <w:p>
            <w:pPr>
              <w:spacing w:line="0" w:lineRule="atLeast"/>
              <w:jc w:val="center"/>
              <w:rPr>
                <w:sz w:val="24"/>
              </w:rPr>
            </w:pPr>
            <w:r>
              <w:rPr>
                <w:sz w:val="24"/>
              </w:rPr>
              <w:t>生活污水</w:t>
            </w:r>
            <w:r>
              <w:rPr>
                <w:rFonts w:hint="eastAsia"/>
                <w:sz w:val="24"/>
                <w:lang w:eastAsia="zh-CN"/>
              </w:rPr>
              <w:t>、</w:t>
            </w:r>
            <w:r>
              <w:rPr>
                <w:rFonts w:hint="eastAsia"/>
                <w:sz w:val="24"/>
                <w:lang w:val="en-US" w:eastAsia="zh-CN"/>
              </w:rPr>
              <w:t>工业废水</w:t>
            </w:r>
          </w:p>
        </w:tc>
        <w:tc>
          <w:tcPr>
            <w:tcW w:w="4087" w:type="dxa"/>
            <w:tcMar>
              <w:left w:w="57" w:type="dxa"/>
              <w:right w:w="57" w:type="dxa"/>
            </w:tcMar>
            <w:vAlign w:val="center"/>
          </w:tcPr>
          <w:p>
            <w:pPr>
              <w:spacing w:line="0" w:lineRule="atLeast"/>
              <w:jc w:val="center"/>
              <w:rPr>
                <w:rFonts w:hint="eastAsia"/>
                <w:sz w:val="24"/>
              </w:rPr>
            </w:pPr>
            <w:r>
              <w:rPr>
                <w:sz w:val="24"/>
              </w:rPr>
              <w:t>COD、SS、氨氮、总磷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1117" w:type="dxa"/>
            <w:tcMar>
              <w:left w:w="57" w:type="dxa"/>
              <w:right w:w="57" w:type="dxa"/>
            </w:tcMar>
            <w:vAlign w:val="center"/>
          </w:tcPr>
          <w:p>
            <w:pPr>
              <w:spacing w:line="0" w:lineRule="atLeast"/>
              <w:jc w:val="center"/>
              <w:rPr>
                <w:sz w:val="24"/>
              </w:rPr>
            </w:pPr>
            <w:r>
              <w:rPr>
                <w:sz w:val="24"/>
              </w:rPr>
              <w:t>噪声</w:t>
            </w:r>
          </w:p>
        </w:tc>
        <w:tc>
          <w:tcPr>
            <w:tcW w:w="3980" w:type="dxa"/>
            <w:tcMar>
              <w:left w:w="57" w:type="dxa"/>
              <w:right w:w="57" w:type="dxa"/>
            </w:tcMar>
            <w:vAlign w:val="center"/>
          </w:tcPr>
          <w:p>
            <w:pPr>
              <w:spacing w:line="0" w:lineRule="atLeast"/>
              <w:jc w:val="center"/>
              <w:rPr>
                <w:sz w:val="24"/>
              </w:rPr>
            </w:pPr>
            <w:r>
              <w:rPr>
                <w:sz w:val="24"/>
              </w:rPr>
              <w:t>各类设备噪声</w:t>
            </w:r>
          </w:p>
        </w:tc>
        <w:tc>
          <w:tcPr>
            <w:tcW w:w="4087" w:type="dxa"/>
            <w:tcMar>
              <w:left w:w="57" w:type="dxa"/>
              <w:right w:w="57" w:type="dxa"/>
            </w:tcMar>
            <w:vAlign w:val="center"/>
          </w:tcPr>
          <w:p>
            <w:pPr>
              <w:spacing w:line="0" w:lineRule="atLeast"/>
              <w:jc w:val="center"/>
              <w:rPr>
                <w:sz w:val="24"/>
              </w:rPr>
            </w:pPr>
            <w:r>
              <w:rPr>
                <w:rFonts w:hint="eastAsia"/>
                <w:sz w:val="24"/>
              </w:rPr>
              <w:t>等效连续声级</w:t>
            </w:r>
          </w:p>
        </w:tc>
      </w:tr>
    </w:tbl>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1.4.2评估因子筛选</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本次评价通过现场调查、监测，摸清该项目所在地环境本底状况及周围环境特征。确定评估因子见表1.4-2。</w:t>
      </w:r>
    </w:p>
    <w:p>
      <w:pPr>
        <w:spacing w:line="360" w:lineRule="auto"/>
        <w:jc w:val="center"/>
        <w:rPr>
          <w:rFonts w:hint="eastAsia" w:asciiTheme="minorEastAsia" w:hAnsiTheme="minorEastAsia" w:eastAsiaTheme="minorEastAsia" w:cstheme="minorEastAsia"/>
          <w:b/>
          <w:sz w:val="28"/>
          <w:szCs w:val="28"/>
        </w:rPr>
      </w:pPr>
    </w:p>
    <w:p>
      <w:pPr>
        <w:spacing w:line="360" w:lineRule="auto"/>
        <w:jc w:val="center"/>
        <w:rPr>
          <w:rFonts w:hint="eastAsia" w:asciiTheme="minorEastAsia" w:hAnsiTheme="minorEastAsia" w:eastAsiaTheme="minorEastAsia" w:cstheme="minorEastAsia"/>
          <w:b/>
          <w:sz w:val="28"/>
          <w:szCs w:val="28"/>
        </w:rPr>
      </w:pPr>
    </w:p>
    <w:p>
      <w:pPr>
        <w:spacing w:line="360" w:lineRule="auto"/>
        <w:jc w:val="center"/>
        <w:rPr>
          <w:rFonts w:hint="eastAsia" w:asciiTheme="minorEastAsia" w:hAnsiTheme="minorEastAsia" w:eastAsiaTheme="minorEastAsia" w:cstheme="minorEastAsia"/>
          <w:b/>
          <w:sz w:val="28"/>
          <w:szCs w:val="28"/>
        </w:rPr>
      </w:pP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表1.4-2  评估因子</w:t>
      </w:r>
    </w:p>
    <w:tbl>
      <w:tblPr>
        <w:tblStyle w:val="20"/>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2476"/>
        <w:gridCol w:w="2354"/>
        <w:gridCol w:w="2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类别</w:t>
            </w:r>
          </w:p>
        </w:tc>
        <w:tc>
          <w:tcPr>
            <w:tcW w:w="2476"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现状评价因子</w:t>
            </w:r>
          </w:p>
        </w:tc>
        <w:tc>
          <w:tcPr>
            <w:tcW w:w="235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影响评价因子</w:t>
            </w:r>
          </w:p>
        </w:tc>
        <w:tc>
          <w:tcPr>
            <w:tcW w:w="2539"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总量控制因子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大气</w:t>
            </w:r>
          </w:p>
        </w:tc>
        <w:tc>
          <w:tcPr>
            <w:tcW w:w="2476" w:type="dxa"/>
            <w:vAlign w:val="center"/>
          </w:tcPr>
          <w:p>
            <w:pPr>
              <w:pStyle w:val="34"/>
              <w:rPr>
                <w:rFonts w:hint="eastAsia" w:asciiTheme="minorEastAsia" w:hAnsiTheme="minorEastAsia" w:eastAsiaTheme="minorEastAsia" w:cstheme="minorEastAsia"/>
                <w:szCs w:val="24"/>
              </w:rPr>
            </w:pPr>
            <w:r>
              <w:rPr>
                <w:rStyle w:val="38"/>
                <w:rFonts w:hint="eastAsia" w:asciiTheme="minorEastAsia" w:hAnsiTheme="minorEastAsia" w:eastAsiaTheme="minorEastAsia" w:cstheme="minorEastAsia"/>
                <w:sz w:val="24"/>
                <w:szCs w:val="24"/>
              </w:rPr>
              <w:t>SO</w:t>
            </w:r>
            <w:r>
              <w:rPr>
                <w:rStyle w:val="38"/>
                <w:rFonts w:hint="eastAsia" w:asciiTheme="minorEastAsia" w:hAnsiTheme="minorEastAsia" w:eastAsiaTheme="minorEastAsia" w:cstheme="minorEastAsia"/>
                <w:sz w:val="24"/>
                <w:szCs w:val="24"/>
                <w:vertAlign w:val="subscript"/>
              </w:rPr>
              <w:t>2</w:t>
            </w:r>
            <w:r>
              <w:rPr>
                <w:rStyle w:val="38"/>
                <w:rFonts w:hint="eastAsia" w:asciiTheme="minorEastAsia" w:hAnsiTheme="minorEastAsia" w:eastAsiaTheme="minorEastAsia" w:cstheme="minorEastAsia"/>
                <w:sz w:val="24"/>
                <w:szCs w:val="24"/>
              </w:rPr>
              <w:t>、NO</w:t>
            </w:r>
            <w:r>
              <w:rPr>
                <w:rStyle w:val="38"/>
                <w:rFonts w:hint="eastAsia" w:asciiTheme="minorEastAsia" w:hAnsiTheme="minorEastAsia" w:eastAsiaTheme="minorEastAsia" w:cstheme="minorEastAsia"/>
                <w:sz w:val="24"/>
                <w:szCs w:val="24"/>
                <w:vertAlign w:val="subscript"/>
              </w:rPr>
              <w:t xml:space="preserve">2 </w:t>
            </w:r>
            <w:r>
              <w:rPr>
                <w:rStyle w:val="40"/>
                <w:rFonts w:hint="eastAsia" w:asciiTheme="minorEastAsia" w:hAnsiTheme="minorEastAsia" w:eastAsiaTheme="minorEastAsia" w:cstheme="minorEastAsia"/>
              </w:rPr>
              <w:t>、</w:t>
            </w:r>
            <w:r>
              <w:rPr>
                <w:rStyle w:val="38"/>
                <w:rFonts w:hint="eastAsia" w:asciiTheme="minorEastAsia" w:hAnsiTheme="minorEastAsia" w:eastAsiaTheme="minorEastAsia" w:cstheme="minorEastAsia"/>
                <w:sz w:val="24"/>
                <w:szCs w:val="24"/>
              </w:rPr>
              <w:t>TSP</w:t>
            </w:r>
            <w:r>
              <w:rPr>
                <w:rFonts w:hint="eastAsia" w:asciiTheme="minorEastAsia" w:hAnsiTheme="minorEastAsia" w:eastAsiaTheme="minorEastAsia" w:cstheme="minorEastAsia"/>
                <w:szCs w:val="24"/>
              </w:rPr>
              <w:t xml:space="preserve"> </w:t>
            </w:r>
          </w:p>
        </w:tc>
        <w:tc>
          <w:tcPr>
            <w:tcW w:w="2354" w:type="dxa"/>
            <w:vAlign w:val="center"/>
          </w:tcPr>
          <w:p>
            <w:pPr>
              <w:pStyle w:val="34"/>
              <w:rPr>
                <w:rFonts w:hint="eastAsia" w:asciiTheme="minorEastAsia" w:hAnsiTheme="minorEastAsia" w:eastAsiaTheme="minorEastAsia" w:cstheme="minorEastAsia"/>
                <w:szCs w:val="24"/>
              </w:rPr>
            </w:pPr>
            <w:r>
              <w:rPr>
                <w:rFonts w:hint="eastAsia"/>
                <w:sz w:val="24"/>
              </w:rPr>
              <w:t>颗粒物、</w:t>
            </w:r>
            <w:r>
              <w:rPr>
                <w:rFonts w:hint="eastAsia"/>
                <w:sz w:val="24"/>
                <w:lang w:val="en-US" w:eastAsia="zh-CN"/>
              </w:rPr>
              <w:t>甲醛、非甲烷总烃、SO</w:t>
            </w:r>
            <w:r>
              <w:rPr>
                <w:rFonts w:hint="eastAsia"/>
                <w:sz w:val="24"/>
                <w:vertAlign w:val="subscript"/>
                <w:lang w:val="en-US" w:eastAsia="zh-CN"/>
              </w:rPr>
              <w:t>2</w:t>
            </w:r>
            <w:r>
              <w:rPr>
                <w:rFonts w:hint="eastAsia"/>
                <w:sz w:val="24"/>
                <w:lang w:val="en-US" w:eastAsia="zh-CN"/>
              </w:rPr>
              <w:t>、NO</w:t>
            </w:r>
            <w:r>
              <w:rPr>
                <w:rFonts w:hint="eastAsia"/>
                <w:sz w:val="24"/>
                <w:vertAlign w:val="subscript"/>
                <w:lang w:val="en-US" w:eastAsia="zh-CN"/>
              </w:rPr>
              <w:t>x</w:t>
            </w:r>
          </w:p>
        </w:tc>
        <w:tc>
          <w:tcPr>
            <w:tcW w:w="2539" w:type="dxa"/>
            <w:vAlign w:val="center"/>
          </w:tcPr>
          <w:p>
            <w:pPr>
              <w:pStyle w:val="34"/>
              <w:rPr>
                <w:rFonts w:hint="eastAsia" w:asciiTheme="minorEastAsia" w:hAnsiTheme="minorEastAsia" w:eastAsiaTheme="minorEastAsia" w:cstheme="minorEastAsia"/>
                <w:szCs w:val="24"/>
              </w:rPr>
            </w:pPr>
            <w:r>
              <w:rPr>
                <w:rFonts w:hint="eastAsia"/>
                <w:sz w:val="24"/>
                <w:lang w:val="en-US" w:eastAsia="zh-CN"/>
              </w:rPr>
              <w:t>粉尘、烟尘</w:t>
            </w:r>
            <w:r>
              <w:rPr>
                <w:rFonts w:hint="eastAsia"/>
                <w:sz w:val="24"/>
              </w:rPr>
              <w:t>、</w:t>
            </w:r>
            <w:r>
              <w:rPr>
                <w:rFonts w:hint="eastAsia"/>
                <w:sz w:val="24"/>
                <w:lang w:val="en-US" w:eastAsia="zh-CN"/>
              </w:rPr>
              <w:t>甲醛、非甲烷总烃、SO</w:t>
            </w:r>
            <w:r>
              <w:rPr>
                <w:rFonts w:hint="eastAsia"/>
                <w:sz w:val="24"/>
                <w:vertAlign w:val="subscript"/>
                <w:lang w:val="en-US" w:eastAsia="zh-CN"/>
              </w:rPr>
              <w:t>2</w:t>
            </w:r>
            <w:r>
              <w:rPr>
                <w:rFonts w:hint="eastAsia"/>
                <w:sz w:val="24"/>
                <w:lang w:val="en-US" w:eastAsia="zh-CN"/>
              </w:rPr>
              <w:t>、NO</w:t>
            </w:r>
            <w:r>
              <w:rPr>
                <w:rFonts w:hint="eastAsia"/>
                <w:sz w:val="24"/>
                <w:vertAlign w:val="subscript"/>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地表水</w:t>
            </w:r>
          </w:p>
        </w:tc>
        <w:tc>
          <w:tcPr>
            <w:tcW w:w="2476"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PH、</w:t>
            </w:r>
            <w:r>
              <w:rPr>
                <w:rStyle w:val="38"/>
                <w:rFonts w:hint="eastAsia" w:asciiTheme="minorEastAsia" w:hAnsiTheme="minorEastAsia" w:eastAsiaTheme="minorEastAsia" w:cstheme="minorEastAsia"/>
                <w:sz w:val="24"/>
              </w:rPr>
              <w:t>COD</w:t>
            </w:r>
            <w:r>
              <w:rPr>
                <w:rStyle w:val="38"/>
                <w:rFonts w:hint="eastAsia" w:asciiTheme="minorEastAsia" w:hAnsiTheme="minorEastAsia" w:eastAsiaTheme="minorEastAsia" w:cstheme="minorEastAsia"/>
                <w:sz w:val="24"/>
                <w:vertAlign w:val="subscript"/>
              </w:rPr>
              <w:t>cr</w:t>
            </w:r>
            <w:r>
              <w:rPr>
                <w:rFonts w:hint="eastAsia" w:asciiTheme="minorEastAsia" w:hAnsiTheme="minorEastAsia" w:eastAsiaTheme="minorEastAsia" w:cstheme="minorEastAsia"/>
                <w:color w:val="auto"/>
                <w:szCs w:val="24"/>
              </w:rPr>
              <w:t>、氨氮、石油类、COD</w:t>
            </w:r>
            <w:r>
              <w:rPr>
                <w:rFonts w:hint="eastAsia" w:asciiTheme="minorEastAsia" w:hAnsiTheme="minorEastAsia" w:eastAsiaTheme="minorEastAsia" w:cstheme="minorEastAsia"/>
                <w:color w:val="auto"/>
                <w:szCs w:val="24"/>
                <w:vertAlign w:val="subscript"/>
              </w:rPr>
              <w:t>Mn</w:t>
            </w:r>
            <w:r>
              <w:rPr>
                <w:rFonts w:hint="eastAsia" w:asciiTheme="minorEastAsia" w:hAnsiTheme="minorEastAsia" w:eastAsiaTheme="minorEastAsia" w:cstheme="minorEastAsia"/>
                <w:color w:val="auto"/>
                <w:szCs w:val="24"/>
              </w:rPr>
              <w:t>、总磷</w:t>
            </w:r>
          </w:p>
        </w:tc>
        <w:tc>
          <w:tcPr>
            <w:tcW w:w="235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COD、SS、氨氮、总磷</w:t>
            </w:r>
          </w:p>
        </w:tc>
        <w:tc>
          <w:tcPr>
            <w:tcW w:w="2539"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COD、SS、氨氮、总磷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噪声</w:t>
            </w:r>
          </w:p>
        </w:tc>
        <w:tc>
          <w:tcPr>
            <w:tcW w:w="2476"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等效连续A声级</w:t>
            </w:r>
          </w:p>
        </w:tc>
        <w:tc>
          <w:tcPr>
            <w:tcW w:w="235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等效连续A声级</w:t>
            </w:r>
          </w:p>
        </w:tc>
        <w:tc>
          <w:tcPr>
            <w:tcW w:w="2539"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固废</w:t>
            </w:r>
          </w:p>
        </w:tc>
        <w:tc>
          <w:tcPr>
            <w:tcW w:w="7369" w:type="dxa"/>
            <w:gridSpan w:val="3"/>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各类工业固废和生活垃圾</w:t>
            </w:r>
          </w:p>
        </w:tc>
      </w:tr>
    </w:tbl>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jc w:val="center"/>
        <w:rPr>
          <w:rFonts w:hint="eastAsia" w:asciiTheme="minorEastAsia" w:hAnsiTheme="minorEastAsia" w:eastAsiaTheme="minorEastAsia" w:cstheme="minorEastAsia"/>
          <w:b/>
          <w:sz w:val="28"/>
          <w:szCs w:val="28"/>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425" w:num="1"/>
          <w:docGrid w:linePitch="312" w:charSpace="0"/>
        </w:sectPr>
      </w:pPr>
    </w:p>
    <w:p>
      <w:pPr>
        <w:pStyle w:val="30"/>
        <w:spacing w:before="156" w:after="156"/>
        <w:rPr>
          <w:rFonts w:hint="eastAsia" w:asciiTheme="minorEastAsia" w:hAnsiTheme="minorEastAsia" w:eastAsiaTheme="minorEastAsia" w:cstheme="minorEastAsia"/>
        </w:rPr>
      </w:pPr>
      <w:bookmarkStart w:id="22" w:name="_Toc224440819"/>
      <w:bookmarkStart w:id="23" w:name="_Toc24905"/>
      <w:r>
        <w:rPr>
          <w:rFonts w:hint="eastAsia" w:asciiTheme="minorEastAsia" w:hAnsiTheme="minorEastAsia" w:eastAsiaTheme="minorEastAsia" w:cstheme="minorEastAsia"/>
        </w:rPr>
        <w:t>1.5评估标准</w:t>
      </w:r>
      <w:bookmarkEnd w:id="22"/>
      <w:bookmarkEnd w:id="23"/>
    </w:p>
    <w:p>
      <w:pPr>
        <w:pStyle w:val="32"/>
        <w:spacing w:before="156" w:after="156"/>
        <w:rPr>
          <w:rFonts w:hint="eastAsia" w:asciiTheme="minorEastAsia" w:hAnsiTheme="minorEastAsia" w:eastAsiaTheme="minorEastAsia" w:cstheme="minorEastAsia"/>
        </w:rPr>
      </w:pPr>
      <w:r>
        <w:rPr>
          <w:rFonts w:hint="eastAsia" w:asciiTheme="minorEastAsia" w:hAnsiTheme="minorEastAsia" w:eastAsiaTheme="minorEastAsia" w:cstheme="minorEastAsia"/>
        </w:rPr>
        <w:t>1.5.1环境质量标准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（1）大气环境质量标准</w:t>
      </w:r>
    </w:p>
    <w:p>
      <w:pPr>
        <w:spacing w:line="360" w:lineRule="auto"/>
        <w:ind w:firstLine="552" w:firstLineChars="200"/>
        <w:rPr>
          <w:rFonts w:hint="eastAsia" w:asciiTheme="minorEastAsia" w:hAnsiTheme="minorEastAsia" w:eastAsiaTheme="minorEastAsia" w:cstheme="minorEastAsia"/>
          <w:spacing w:val="-2"/>
          <w:sz w:val="28"/>
          <w:szCs w:val="28"/>
        </w:rPr>
      </w:pPr>
      <w:r>
        <w:rPr>
          <w:rFonts w:hint="eastAsia" w:asciiTheme="minorEastAsia" w:hAnsiTheme="minorEastAsia" w:eastAsiaTheme="minorEastAsia" w:cstheme="minorEastAsia"/>
          <w:spacing w:val="-2"/>
          <w:sz w:val="28"/>
          <w:szCs w:val="28"/>
        </w:rPr>
        <w:t>评价区内SO</w:t>
      </w:r>
      <w:r>
        <w:rPr>
          <w:rFonts w:hint="eastAsia" w:asciiTheme="minorEastAsia" w:hAnsiTheme="minorEastAsia" w:eastAsiaTheme="minorEastAsia" w:cstheme="minorEastAsia"/>
          <w:spacing w:val="-2"/>
          <w:sz w:val="28"/>
          <w:szCs w:val="28"/>
          <w:vertAlign w:val="subscript"/>
        </w:rPr>
        <w:t>2</w:t>
      </w:r>
      <w:r>
        <w:rPr>
          <w:rFonts w:hint="eastAsia" w:asciiTheme="minorEastAsia" w:hAnsiTheme="minorEastAsia" w:eastAsiaTheme="minorEastAsia" w:cstheme="minorEastAsia"/>
          <w:spacing w:val="-2"/>
          <w:sz w:val="28"/>
          <w:szCs w:val="28"/>
        </w:rPr>
        <w:t>、NO</w:t>
      </w:r>
      <w:r>
        <w:rPr>
          <w:rFonts w:hint="eastAsia" w:asciiTheme="minorEastAsia" w:hAnsiTheme="minorEastAsia" w:eastAsiaTheme="minorEastAsia" w:cstheme="minorEastAsia"/>
          <w:spacing w:val="-2"/>
          <w:sz w:val="28"/>
          <w:szCs w:val="28"/>
          <w:vertAlign w:val="subscript"/>
        </w:rPr>
        <w:t>2</w:t>
      </w:r>
      <w:r>
        <w:rPr>
          <w:rFonts w:hint="eastAsia" w:asciiTheme="minorEastAsia" w:hAnsiTheme="minorEastAsia" w:eastAsiaTheme="minorEastAsia" w:cstheme="minorEastAsia"/>
          <w:spacing w:val="-2"/>
          <w:sz w:val="28"/>
          <w:szCs w:val="28"/>
        </w:rPr>
        <w:t>、TSP</w:t>
      </w:r>
      <w:r>
        <w:rPr>
          <w:rFonts w:hint="eastAsia" w:asciiTheme="minorEastAsia" w:hAnsiTheme="minorEastAsia" w:eastAsiaTheme="minorEastAsia" w:cstheme="minorEastAsia"/>
          <w:spacing w:val="-2"/>
          <w:sz w:val="28"/>
          <w:szCs w:val="28"/>
          <w:lang w:eastAsia="zh-CN"/>
        </w:rPr>
        <w:t>、</w:t>
      </w:r>
      <w:r>
        <w:rPr>
          <w:rFonts w:hint="eastAsia" w:asciiTheme="minorEastAsia" w:hAnsiTheme="minorEastAsia" w:eastAsiaTheme="minorEastAsia" w:cstheme="minorEastAsia"/>
          <w:spacing w:val="-2"/>
          <w:sz w:val="28"/>
          <w:szCs w:val="28"/>
          <w:lang w:val="en-US" w:eastAsia="zh-CN"/>
        </w:rPr>
        <w:t>NO</w:t>
      </w:r>
      <w:r>
        <w:rPr>
          <w:rFonts w:hint="eastAsia" w:asciiTheme="minorEastAsia" w:hAnsiTheme="minorEastAsia" w:eastAsiaTheme="minorEastAsia" w:cstheme="minorEastAsia"/>
          <w:spacing w:val="-2"/>
          <w:sz w:val="28"/>
          <w:szCs w:val="28"/>
          <w:vertAlign w:val="subscript"/>
          <w:lang w:val="en-US" w:eastAsia="zh-CN"/>
        </w:rPr>
        <w:t>x</w:t>
      </w:r>
      <w:r>
        <w:rPr>
          <w:rFonts w:hint="eastAsia" w:asciiTheme="minorEastAsia" w:hAnsiTheme="minorEastAsia" w:eastAsiaTheme="minorEastAsia" w:cstheme="minorEastAsia"/>
          <w:spacing w:val="-2"/>
          <w:sz w:val="28"/>
          <w:szCs w:val="28"/>
        </w:rPr>
        <w:t>执行《环境空气质量标准》（GB3095-96）二级标准，甲醛参考《工业企业设计卫生标准》（TJ36-79），</w:t>
      </w:r>
      <w:r>
        <w:rPr>
          <w:rFonts w:hint="eastAsia" w:ascii="宋体" w:hAnsi="宋体" w:cs="宋体"/>
          <w:spacing w:val="-2"/>
          <w:sz w:val="28"/>
          <w:szCs w:val="28"/>
        </w:rPr>
        <w:t>非甲烷总烃参考《大气污染物综合排放标准详解》</w:t>
      </w:r>
      <w:r>
        <w:rPr>
          <w:rFonts w:hint="eastAsia" w:ascii="宋体" w:hAnsi="宋体" w:cs="宋体"/>
          <w:spacing w:val="-2"/>
          <w:sz w:val="28"/>
          <w:szCs w:val="28"/>
          <w:lang w:eastAsia="zh-CN"/>
        </w:rPr>
        <w:t>，</w:t>
      </w:r>
      <w:r>
        <w:rPr>
          <w:rFonts w:hint="eastAsia" w:asciiTheme="minorEastAsia" w:hAnsiTheme="minorEastAsia" w:eastAsiaTheme="minorEastAsia" w:cstheme="minorEastAsia"/>
          <w:spacing w:val="-2"/>
          <w:sz w:val="28"/>
          <w:szCs w:val="28"/>
        </w:rPr>
        <w:t>具体标准见表1.5-1。</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表1.5-1  环境空气质量标准</w:t>
      </w:r>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678"/>
        <w:gridCol w:w="1794"/>
        <w:gridCol w:w="1102"/>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tblHeader/>
          <w:jc w:val="center"/>
        </w:trPr>
        <w:tc>
          <w:tcPr>
            <w:tcW w:w="1461" w:type="dxa"/>
            <w:vAlign w:val="center"/>
          </w:tcPr>
          <w:p>
            <w:pPr>
              <w:pStyle w:val="37"/>
              <w:rPr>
                <w:rFonts w:hint="eastAsia" w:asciiTheme="minorEastAsia" w:hAnsiTheme="minorEastAsia" w:eastAsiaTheme="minorEastAsia" w:cstheme="minorEastAsia"/>
                <w:color w:val="auto"/>
                <w:szCs w:val="24"/>
              </w:rPr>
            </w:pPr>
            <w:bookmarkStart w:id="24" w:name="OLE_LINK21"/>
            <w:bookmarkStart w:id="25" w:name="OLE_LINK20"/>
            <w:r>
              <w:rPr>
                <w:rFonts w:hint="eastAsia" w:asciiTheme="minorEastAsia" w:hAnsiTheme="minorEastAsia" w:eastAsiaTheme="minorEastAsia" w:cstheme="minorEastAsia"/>
                <w:color w:val="auto"/>
                <w:szCs w:val="24"/>
              </w:rPr>
              <w:t>污染物</w:t>
            </w:r>
          </w:p>
        </w:tc>
        <w:tc>
          <w:tcPr>
            <w:tcW w:w="167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平均时间</w:t>
            </w:r>
          </w:p>
        </w:tc>
        <w:tc>
          <w:tcPr>
            <w:tcW w:w="179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浓度限值</w:t>
            </w:r>
          </w:p>
        </w:tc>
        <w:tc>
          <w:tcPr>
            <w:tcW w:w="1102"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单位</w:t>
            </w:r>
          </w:p>
        </w:tc>
        <w:tc>
          <w:tcPr>
            <w:tcW w:w="2261"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146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pacing w:val="-2"/>
                <w:sz w:val="28"/>
                <w:szCs w:val="28"/>
              </w:rPr>
              <w:t>SO</w:t>
            </w:r>
            <w:r>
              <w:rPr>
                <w:rFonts w:hint="eastAsia" w:asciiTheme="minorEastAsia" w:hAnsiTheme="minorEastAsia" w:eastAsiaTheme="minorEastAsia" w:cstheme="minorEastAsia"/>
                <w:spacing w:val="-2"/>
                <w:sz w:val="28"/>
                <w:szCs w:val="28"/>
                <w:vertAlign w:val="subscript"/>
              </w:rPr>
              <w:t>2</w:t>
            </w:r>
          </w:p>
        </w:tc>
        <w:tc>
          <w:tcPr>
            <w:tcW w:w="167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日平均</w:t>
            </w:r>
          </w:p>
        </w:tc>
        <w:tc>
          <w:tcPr>
            <w:tcW w:w="179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0.15</w:t>
            </w:r>
          </w:p>
        </w:tc>
        <w:tc>
          <w:tcPr>
            <w:tcW w:w="1102"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mg/m</w:t>
            </w:r>
            <w:r>
              <w:rPr>
                <w:rFonts w:hint="eastAsia" w:asciiTheme="minorEastAsia" w:hAnsiTheme="minorEastAsia" w:eastAsiaTheme="minorEastAsia" w:cstheme="minorEastAsia"/>
                <w:color w:val="auto"/>
                <w:szCs w:val="24"/>
                <w:vertAlign w:val="superscript"/>
              </w:rPr>
              <w:t>3</w:t>
            </w:r>
          </w:p>
        </w:tc>
        <w:tc>
          <w:tcPr>
            <w:tcW w:w="2261"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《环境空气质量标准》（GB3095-96）二级标准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146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pacing w:val="-2"/>
                <w:sz w:val="28"/>
                <w:szCs w:val="28"/>
              </w:rPr>
              <w:t>NO</w:t>
            </w:r>
            <w:r>
              <w:rPr>
                <w:rFonts w:hint="eastAsia" w:asciiTheme="minorEastAsia" w:hAnsiTheme="minorEastAsia" w:eastAsiaTheme="minorEastAsia" w:cstheme="minorEastAsia"/>
                <w:spacing w:val="-2"/>
                <w:sz w:val="28"/>
                <w:szCs w:val="28"/>
                <w:vertAlign w:val="subscript"/>
              </w:rPr>
              <w:t>2</w:t>
            </w:r>
          </w:p>
        </w:tc>
        <w:tc>
          <w:tcPr>
            <w:tcW w:w="167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日平均</w:t>
            </w:r>
          </w:p>
        </w:tc>
        <w:tc>
          <w:tcPr>
            <w:tcW w:w="179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0.08</w:t>
            </w:r>
          </w:p>
        </w:tc>
        <w:tc>
          <w:tcPr>
            <w:tcW w:w="1102" w:type="dxa"/>
            <w:vMerge w:val="continue"/>
            <w:vAlign w:val="center"/>
          </w:tcPr>
          <w:p>
            <w:pPr>
              <w:pStyle w:val="37"/>
              <w:rPr>
                <w:rFonts w:hint="eastAsia" w:asciiTheme="minorEastAsia" w:hAnsiTheme="minorEastAsia" w:eastAsiaTheme="minorEastAsia" w:cstheme="minorEastAsia"/>
                <w:color w:val="auto"/>
                <w:szCs w:val="24"/>
              </w:rPr>
            </w:pPr>
          </w:p>
        </w:tc>
        <w:tc>
          <w:tcPr>
            <w:tcW w:w="2261" w:type="dxa"/>
            <w:vMerge w:val="continue"/>
            <w:vAlign w:val="center"/>
          </w:tcPr>
          <w:p>
            <w:pPr>
              <w:pStyle w:val="37"/>
              <w:rPr>
                <w:rFonts w:hint="eastAsia" w:asciiTheme="minorEastAsia" w:hAnsiTheme="minorEastAsia" w:eastAsiaTheme="minorEastAsia" w:cstheme="minorEastAsia"/>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146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pacing w:val="-2"/>
                <w:sz w:val="28"/>
                <w:szCs w:val="28"/>
              </w:rPr>
              <w:t>TSP</w:t>
            </w:r>
          </w:p>
        </w:tc>
        <w:tc>
          <w:tcPr>
            <w:tcW w:w="167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日平均</w:t>
            </w:r>
          </w:p>
        </w:tc>
        <w:tc>
          <w:tcPr>
            <w:tcW w:w="179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0.30</w:t>
            </w:r>
          </w:p>
        </w:tc>
        <w:tc>
          <w:tcPr>
            <w:tcW w:w="1102" w:type="dxa"/>
            <w:vMerge w:val="continue"/>
            <w:vAlign w:val="center"/>
          </w:tcPr>
          <w:p>
            <w:pPr>
              <w:pStyle w:val="37"/>
              <w:rPr>
                <w:rFonts w:hint="eastAsia" w:asciiTheme="minorEastAsia" w:hAnsiTheme="minorEastAsia" w:eastAsiaTheme="minorEastAsia" w:cstheme="minorEastAsia"/>
                <w:color w:val="auto"/>
                <w:szCs w:val="24"/>
              </w:rPr>
            </w:pPr>
          </w:p>
        </w:tc>
        <w:tc>
          <w:tcPr>
            <w:tcW w:w="2261" w:type="dxa"/>
            <w:vMerge w:val="continue"/>
            <w:vAlign w:val="center"/>
          </w:tcPr>
          <w:p>
            <w:pPr>
              <w:pStyle w:val="37"/>
              <w:rPr>
                <w:rFonts w:hint="eastAsia" w:asciiTheme="minorEastAsia" w:hAnsiTheme="minorEastAsia" w:eastAsiaTheme="minorEastAsia" w:cstheme="minorEastAsia"/>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1461" w:type="dxa"/>
            <w:vAlign w:val="center"/>
          </w:tcPr>
          <w:p>
            <w:pPr>
              <w:pStyle w:val="34"/>
              <w:rPr>
                <w:rFonts w:hint="eastAsia" w:asciiTheme="minorEastAsia" w:hAnsiTheme="minorEastAsia" w:eastAsiaTheme="minorEastAsia" w:cstheme="minorEastAsia"/>
                <w:spacing w:val="-2"/>
                <w:sz w:val="28"/>
                <w:szCs w:val="28"/>
                <w:lang w:val="en-US" w:eastAsia="zh-CN"/>
              </w:rPr>
            </w:pPr>
            <w:r>
              <w:rPr>
                <w:rFonts w:hint="eastAsia" w:asciiTheme="minorEastAsia" w:hAnsiTheme="minorEastAsia" w:eastAsiaTheme="minorEastAsia" w:cstheme="minorEastAsia"/>
                <w:spacing w:val="-2"/>
                <w:sz w:val="28"/>
                <w:szCs w:val="28"/>
                <w:lang w:val="en-US" w:eastAsia="zh-CN"/>
              </w:rPr>
              <w:t>NO</w:t>
            </w:r>
            <w:r>
              <w:rPr>
                <w:rFonts w:hint="eastAsia" w:asciiTheme="minorEastAsia" w:hAnsiTheme="minorEastAsia" w:eastAsiaTheme="minorEastAsia" w:cstheme="minorEastAsia"/>
                <w:spacing w:val="-2"/>
                <w:sz w:val="28"/>
                <w:szCs w:val="28"/>
                <w:vertAlign w:val="subscript"/>
                <w:lang w:val="en-US" w:eastAsia="zh-CN"/>
              </w:rPr>
              <w:t>x</w:t>
            </w:r>
          </w:p>
        </w:tc>
        <w:tc>
          <w:tcPr>
            <w:tcW w:w="1678" w:type="dxa"/>
            <w:textDirection w:val="lrTb"/>
            <w:vAlign w:val="center"/>
          </w:tcPr>
          <w:p>
            <w:pPr>
              <w:pStyle w:val="37"/>
              <w:rPr>
                <w:rFonts w:hint="eastAsia" w:asciiTheme="minorEastAsia" w:hAnsiTheme="minorEastAsia" w:eastAsiaTheme="minorEastAsia" w:cstheme="minorEastAsia"/>
                <w:color w:val="auto"/>
                <w:szCs w:val="24"/>
              </w:rPr>
            </w:pPr>
            <w:r>
              <w:rPr>
                <w:rFonts w:hint="eastAsia" w:ascii="宋体" w:hAnsi="宋体" w:cs="宋体"/>
                <w:snapToGrid/>
                <w:color w:val="auto"/>
                <w:kern w:val="0"/>
                <w:sz w:val="24"/>
                <w:szCs w:val="24"/>
              </w:rPr>
              <w:t>日平均</w:t>
            </w:r>
          </w:p>
        </w:tc>
        <w:tc>
          <w:tcPr>
            <w:tcW w:w="1794" w:type="dxa"/>
            <w:textDirection w:val="lrTb"/>
            <w:vAlign w:val="center"/>
          </w:tcPr>
          <w:p>
            <w:pPr>
              <w:pStyle w:val="37"/>
              <w:rPr>
                <w:rFonts w:hint="eastAsia" w:asciiTheme="minorEastAsia" w:hAnsiTheme="minorEastAsia" w:eastAsiaTheme="minorEastAsia" w:cstheme="minorEastAsia"/>
                <w:color w:val="auto"/>
                <w:szCs w:val="24"/>
                <w:lang w:eastAsia="zh-CN"/>
              </w:rPr>
            </w:pPr>
            <w:r>
              <w:rPr>
                <w:rFonts w:hint="eastAsia" w:ascii="宋体" w:hAnsi="宋体" w:cs="宋体" w:eastAsiaTheme="minorEastAsia"/>
                <w:snapToGrid/>
                <w:color w:val="auto"/>
                <w:kern w:val="0"/>
                <w:sz w:val="24"/>
                <w:szCs w:val="24"/>
                <w:lang w:val="en-US" w:eastAsia="zh-CN"/>
              </w:rPr>
              <w:t>0.10</w:t>
            </w:r>
          </w:p>
        </w:tc>
        <w:tc>
          <w:tcPr>
            <w:tcW w:w="1102" w:type="dxa"/>
            <w:vMerge w:val="continue"/>
            <w:vAlign w:val="center"/>
          </w:tcPr>
          <w:p>
            <w:pPr>
              <w:pStyle w:val="37"/>
              <w:rPr>
                <w:rFonts w:hint="eastAsia" w:asciiTheme="minorEastAsia" w:hAnsiTheme="minorEastAsia" w:eastAsiaTheme="minorEastAsia" w:cstheme="minorEastAsia"/>
                <w:color w:val="auto"/>
                <w:szCs w:val="24"/>
              </w:rPr>
            </w:pPr>
          </w:p>
        </w:tc>
        <w:tc>
          <w:tcPr>
            <w:tcW w:w="2261" w:type="dxa"/>
            <w:vMerge w:val="continue"/>
            <w:vAlign w:val="center"/>
          </w:tcPr>
          <w:p>
            <w:pPr>
              <w:pStyle w:val="37"/>
              <w:rPr>
                <w:rFonts w:hint="eastAsia" w:asciiTheme="minorEastAsia" w:hAnsiTheme="minorEastAsia" w:eastAsiaTheme="minorEastAsia" w:cstheme="minorEastAsia"/>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146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甲醛</w:t>
            </w:r>
          </w:p>
        </w:tc>
        <w:tc>
          <w:tcPr>
            <w:tcW w:w="167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一次值</w:t>
            </w:r>
          </w:p>
        </w:tc>
        <w:tc>
          <w:tcPr>
            <w:tcW w:w="1794"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0.05</w:t>
            </w:r>
          </w:p>
        </w:tc>
        <w:tc>
          <w:tcPr>
            <w:tcW w:w="1102"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mg/m</w:t>
            </w:r>
            <w:r>
              <w:rPr>
                <w:rFonts w:hint="eastAsia" w:asciiTheme="minorEastAsia" w:hAnsiTheme="minorEastAsia" w:eastAsiaTheme="minorEastAsia" w:cstheme="minorEastAsia"/>
                <w:color w:val="auto"/>
                <w:szCs w:val="24"/>
                <w:vertAlign w:val="superscript"/>
              </w:rPr>
              <w:t>3</w:t>
            </w:r>
          </w:p>
        </w:tc>
        <w:tc>
          <w:tcPr>
            <w:tcW w:w="2261"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参考《工业企业设计卫生标准（TJ36-79）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1461" w:type="dxa"/>
            <w:textDirection w:val="lrTb"/>
            <w:vAlign w:val="center"/>
          </w:tcPr>
          <w:p>
            <w:pPr>
              <w:pStyle w:val="34"/>
              <w:rPr>
                <w:rFonts w:hint="eastAsia" w:asciiTheme="minorEastAsia" w:hAnsiTheme="minorEastAsia" w:eastAsiaTheme="minorEastAsia" w:cstheme="minorEastAsia"/>
                <w:szCs w:val="24"/>
              </w:rPr>
            </w:pPr>
            <w:r>
              <w:rPr>
                <w:rFonts w:hint="eastAsia" w:ascii="宋体" w:hAnsi="宋体" w:cs="宋体"/>
                <w:sz w:val="24"/>
                <w:szCs w:val="24"/>
              </w:rPr>
              <w:t>非甲烷总烃</w:t>
            </w:r>
          </w:p>
        </w:tc>
        <w:tc>
          <w:tcPr>
            <w:tcW w:w="1678" w:type="dxa"/>
            <w:textDirection w:val="lrTb"/>
            <w:vAlign w:val="center"/>
          </w:tcPr>
          <w:p>
            <w:pPr>
              <w:pStyle w:val="37"/>
              <w:rPr>
                <w:rFonts w:hint="eastAsia" w:asciiTheme="minorEastAsia" w:hAnsiTheme="minorEastAsia" w:eastAsiaTheme="minorEastAsia" w:cstheme="minorEastAsia"/>
                <w:color w:val="auto"/>
                <w:szCs w:val="24"/>
              </w:rPr>
            </w:pPr>
            <w:r>
              <w:rPr>
                <w:rFonts w:hint="eastAsia" w:ascii="宋体" w:hAnsi="宋体" w:cs="宋体"/>
                <w:color w:val="auto"/>
                <w:sz w:val="24"/>
                <w:szCs w:val="24"/>
              </w:rPr>
              <w:t>一次值</w:t>
            </w:r>
          </w:p>
        </w:tc>
        <w:tc>
          <w:tcPr>
            <w:tcW w:w="1794" w:type="dxa"/>
            <w:textDirection w:val="lrTb"/>
            <w:vAlign w:val="center"/>
          </w:tcPr>
          <w:p>
            <w:pPr>
              <w:pStyle w:val="37"/>
              <w:rPr>
                <w:rFonts w:hint="eastAsia" w:asciiTheme="minorEastAsia" w:hAnsiTheme="minorEastAsia" w:eastAsiaTheme="minorEastAsia" w:cstheme="minorEastAsia"/>
                <w:color w:val="auto"/>
                <w:szCs w:val="24"/>
              </w:rPr>
            </w:pPr>
            <w:r>
              <w:rPr>
                <w:rFonts w:hint="eastAsia" w:ascii="宋体" w:hAnsi="宋体" w:cs="宋体"/>
                <w:color w:val="auto"/>
                <w:sz w:val="24"/>
                <w:szCs w:val="24"/>
              </w:rPr>
              <w:t>2</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0</w:t>
            </w:r>
          </w:p>
        </w:tc>
        <w:tc>
          <w:tcPr>
            <w:tcW w:w="1102" w:type="dxa"/>
            <w:textDirection w:val="lrTb"/>
            <w:vAlign w:val="center"/>
          </w:tcPr>
          <w:p>
            <w:pPr>
              <w:pStyle w:val="37"/>
              <w:rPr>
                <w:rFonts w:hint="eastAsia" w:asciiTheme="minorEastAsia" w:hAnsiTheme="minorEastAsia" w:eastAsiaTheme="minorEastAsia" w:cstheme="minorEastAsia"/>
                <w:color w:val="auto"/>
                <w:szCs w:val="24"/>
              </w:rPr>
            </w:pPr>
            <w:r>
              <w:rPr>
                <w:rFonts w:hint="eastAsia" w:ascii="宋体" w:hAnsi="宋体" w:cs="宋体"/>
                <w:color w:val="auto"/>
                <w:sz w:val="24"/>
                <w:szCs w:val="24"/>
              </w:rPr>
              <w:t>mg/m</w:t>
            </w:r>
            <w:r>
              <w:rPr>
                <w:rFonts w:hint="eastAsia" w:ascii="宋体" w:hAnsi="宋体" w:cs="宋体"/>
                <w:color w:val="auto"/>
                <w:sz w:val="24"/>
                <w:szCs w:val="24"/>
                <w:vertAlign w:val="superscript"/>
              </w:rPr>
              <w:t>3</w:t>
            </w:r>
          </w:p>
        </w:tc>
        <w:tc>
          <w:tcPr>
            <w:tcW w:w="2261" w:type="dxa"/>
            <w:textDirection w:val="lrTb"/>
            <w:vAlign w:val="center"/>
          </w:tcPr>
          <w:p>
            <w:pPr>
              <w:pStyle w:val="37"/>
              <w:rPr>
                <w:rFonts w:hint="eastAsia" w:asciiTheme="minorEastAsia" w:hAnsiTheme="minorEastAsia" w:eastAsiaTheme="minorEastAsia" w:cstheme="minorEastAsia"/>
                <w:color w:val="auto"/>
                <w:szCs w:val="24"/>
              </w:rPr>
            </w:pPr>
            <w:r>
              <w:rPr>
                <w:rFonts w:hint="eastAsia" w:ascii="宋体" w:hAnsi="宋体" w:cs="宋体"/>
                <w:color w:val="auto"/>
                <w:sz w:val="24"/>
                <w:szCs w:val="24"/>
              </w:rPr>
              <w:t>参考《大气污染物综合排放标准详解》</w:t>
            </w:r>
          </w:p>
        </w:tc>
      </w:tr>
      <w:bookmarkEnd w:id="24"/>
      <w:bookmarkEnd w:id="25"/>
    </w:tbl>
    <w:p>
      <w:pPr>
        <w:spacing w:before="156" w:beforeLines="5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（2）地表水环境质量标准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根据京杭运河丹阳城区段执行《地表水环境质量标准》（GB3838-2002）中Ⅳ类标准，九曲河执行GB3838-2002中Ⅲ类标准。具体见表1.5-2。</w:t>
      </w:r>
    </w:p>
    <w:p>
      <w:pPr>
        <w:spacing w:line="360" w:lineRule="auto"/>
        <w:jc w:val="righ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表1.5-2  地表水环境质量标准限值  </w:t>
      </w:r>
      <w:r>
        <w:rPr>
          <w:rFonts w:hint="eastAsia" w:asciiTheme="minorEastAsia" w:hAnsiTheme="minorEastAsia" w:eastAsiaTheme="minorEastAsia" w:cstheme="minorEastAsia"/>
          <w:szCs w:val="21"/>
        </w:rPr>
        <w:t>单位：mg/L，pH无量纲</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998"/>
        <w:gridCol w:w="1134"/>
        <w:gridCol w:w="992"/>
        <w:gridCol w:w="1133"/>
        <w:gridCol w:w="1133"/>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 w:hRule="atLeast"/>
        </w:trPr>
        <w:tc>
          <w:tcPr>
            <w:tcW w:w="1975"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类别</w:t>
            </w:r>
          </w:p>
        </w:tc>
        <w:tc>
          <w:tcPr>
            <w:tcW w:w="99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pH</w:t>
            </w:r>
          </w:p>
        </w:tc>
        <w:tc>
          <w:tcPr>
            <w:tcW w:w="1134" w:type="dxa"/>
            <w:vAlign w:val="center"/>
          </w:tcPr>
          <w:p>
            <w:pPr>
              <w:pStyle w:val="37"/>
              <w:rPr>
                <w:rFonts w:hint="eastAsia" w:asciiTheme="minorEastAsia" w:hAnsiTheme="minorEastAsia" w:eastAsiaTheme="minorEastAsia" w:cstheme="minorEastAsia"/>
                <w:bCs/>
              </w:rPr>
            </w:pPr>
            <w:r>
              <w:rPr>
                <w:rFonts w:hint="eastAsia" w:asciiTheme="minorEastAsia" w:hAnsiTheme="minorEastAsia" w:eastAsiaTheme="minorEastAsia" w:cstheme="minorEastAsia"/>
                <w:color w:val="auto"/>
                <w:szCs w:val="24"/>
              </w:rPr>
              <w:t>COD</w:t>
            </w:r>
            <w:r>
              <w:rPr>
                <w:rFonts w:hint="eastAsia" w:asciiTheme="minorEastAsia" w:hAnsiTheme="minorEastAsia" w:eastAsiaTheme="minorEastAsia" w:cstheme="minorEastAsia"/>
                <w:color w:val="auto"/>
                <w:szCs w:val="24"/>
                <w:vertAlign w:val="subscript"/>
              </w:rPr>
              <w:t>cr</w:t>
            </w:r>
          </w:p>
        </w:tc>
        <w:tc>
          <w:tcPr>
            <w:tcW w:w="992"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氨氮</w:t>
            </w:r>
          </w:p>
        </w:tc>
        <w:tc>
          <w:tcPr>
            <w:tcW w:w="1133"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石油类</w:t>
            </w:r>
          </w:p>
        </w:tc>
        <w:tc>
          <w:tcPr>
            <w:tcW w:w="1133"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sz w:val="24"/>
              </w:rPr>
              <w:t>COD</w:t>
            </w:r>
            <w:r>
              <w:rPr>
                <w:rFonts w:hint="eastAsia" w:asciiTheme="minorEastAsia" w:hAnsiTheme="minorEastAsia" w:eastAsiaTheme="minorEastAsia" w:cstheme="minorEastAsia"/>
                <w:sz w:val="24"/>
                <w:vertAlign w:val="subscript"/>
              </w:rPr>
              <w:t>Mn</w:t>
            </w:r>
          </w:p>
        </w:tc>
        <w:tc>
          <w:tcPr>
            <w:tcW w:w="931"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975"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标准值（Ⅲ）类</w:t>
            </w:r>
          </w:p>
        </w:tc>
        <w:tc>
          <w:tcPr>
            <w:tcW w:w="99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6～9</w:t>
            </w:r>
          </w:p>
        </w:tc>
        <w:tc>
          <w:tcPr>
            <w:tcW w:w="1134"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w:t>
            </w:r>
          </w:p>
        </w:tc>
        <w:tc>
          <w:tcPr>
            <w:tcW w:w="99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1133"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0.05</w:t>
            </w:r>
          </w:p>
        </w:tc>
        <w:tc>
          <w:tcPr>
            <w:tcW w:w="1133"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931"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975"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标准值（Ⅳ）类</w:t>
            </w:r>
          </w:p>
        </w:tc>
        <w:tc>
          <w:tcPr>
            <w:tcW w:w="99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6～9</w:t>
            </w:r>
          </w:p>
        </w:tc>
        <w:tc>
          <w:tcPr>
            <w:tcW w:w="1134"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30</w:t>
            </w:r>
          </w:p>
        </w:tc>
        <w:tc>
          <w:tcPr>
            <w:tcW w:w="99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w:t>
            </w:r>
          </w:p>
        </w:tc>
        <w:tc>
          <w:tcPr>
            <w:tcW w:w="1133"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0.5</w:t>
            </w:r>
          </w:p>
        </w:tc>
        <w:tc>
          <w:tcPr>
            <w:tcW w:w="1133"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931"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0.3</w:t>
            </w:r>
          </w:p>
        </w:tc>
      </w:tr>
    </w:tbl>
    <w:p>
      <w:pPr>
        <w:spacing w:before="156" w:beforeLines="5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（3）声环境质量标准</w:t>
      </w:r>
    </w:p>
    <w:p>
      <w:pPr>
        <w:spacing w:line="360" w:lineRule="auto"/>
        <w:ind w:firstLine="560"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napToGrid w:val="0"/>
          <w:kern w:val="0"/>
          <w:sz w:val="28"/>
          <w:szCs w:val="28"/>
        </w:rPr>
        <w:t>根据相关环保规划，本项目执行《工业企业厂界环境噪声排放标准》（GB12348-2008）的3类标准</w:t>
      </w:r>
      <w:r>
        <w:rPr>
          <w:rFonts w:hint="eastAsia" w:asciiTheme="minorEastAsia" w:hAnsiTheme="minorEastAsia" w:eastAsiaTheme="minorEastAsia" w:cstheme="minorEastAsia"/>
          <w:sz w:val="28"/>
          <w:szCs w:val="28"/>
        </w:rPr>
        <w:t>。具体见表1.5-3。</w:t>
      </w:r>
    </w:p>
    <w:p>
      <w:pPr>
        <w:spacing w:line="360" w:lineRule="auto"/>
        <w:jc w:val="righ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 w:val="28"/>
          <w:szCs w:val="28"/>
        </w:rPr>
        <w:t xml:space="preserve">表1.5-3  噪声评价标准         </w:t>
      </w:r>
      <w:r>
        <w:rPr>
          <w:rFonts w:hint="eastAsia" w:asciiTheme="minorEastAsia" w:hAnsiTheme="minorEastAsia" w:eastAsiaTheme="minorEastAsia" w:cstheme="minorEastAsia"/>
          <w:szCs w:val="21"/>
        </w:rPr>
        <w:t xml:space="preserve">单位：dB（A） </w:t>
      </w:r>
    </w:p>
    <w:tbl>
      <w:tblPr>
        <w:tblStyle w:val="20"/>
        <w:tblW w:w="8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2"/>
        <w:gridCol w:w="1101"/>
        <w:gridCol w:w="1671"/>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82"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标准</w:t>
            </w:r>
          </w:p>
        </w:tc>
        <w:tc>
          <w:tcPr>
            <w:tcW w:w="110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类别</w:t>
            </w:r>
          </w:p>
        </w:tc>
        <w:tc>
          <w:tcPr>
            <w:tcW w:w="167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昼间</w:t>
            </w:r>
          </w:p>
        </w:tc>
        <w:tc>
          <w:tcPr>
            <w:tcW w:w="167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4082"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《工业企业厂界环境噪声排放标准》（GB12348-2008）</w:t>
            </w:r>
          </w:p>
        </w:tc>
        <w:tc>
          <w:tcPr>
            <w:tcW w:w="110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c>
          <w:tcPr>
            <w:tcW w:w="167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65</w:t>
            </w:r>
          </w:p>
        </w:tc>
        <w:tc>
          <w:tcPr>
            <w:tcW w:w="1671"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55</w:t>
            </w:r>
          </w:p>
        </w:tc>
      </w:tr>
    </w:tbl>
    <w:p>
      <w:pPr>
        <w:pStyle w:val="32"/>
        <w:spacing w:before="156" w:after="156"/>
        <w:rPr>
          <w:rFonts w:hint="eastAsia" w:asciiTheme="minorEastAsia" w:hAnsiTheme="minorEastAsia" w:eastAsiaTheme="minorEastAsia" w:cstheme="minorEastAsia"/>
        </w:rPr>
      </w:pPr>
      <w:r>
        <w:rPr>
          <w:rFonts w:hint="eastAsia" w:asciiTheme="minorEastAsia" w:hAnsiTheme="minorEastAsia" w:eastAsiaTheme="minorEastAsia" w:cstheme="minorEastAsia"/>
        </w:rPr>
        <w:t>1.5.2污染物排放标准</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（1）大气污染物排放标准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本项目排放的粉尘、甲醛</w:t>
      </w:r>
      <w:r>
        <w:rPr>
          <w:rFonts w:hint="eastAsia" w:asciiTheme="minorEastAsia" w:hAnsiTheme="minorEastAsia" w:eastAsiaTheme="minorEastAsia" w:cstheme="minorEastAsia"/>
          <w:sz w:val="28"/>
          <w:szCs w:val="28"/>
          <w:lang w:eastAsia="zh-CN"/>
        </w:rPr>
        <w:t>、</w:t>
      </w:r>
      <w:r>
        <w:rPr>
          <w:rFonts w:hint="eastAsia" w:ascii="宋体" w:hAnsi="宋体" w:cs="宋体"/>
          <w:sz w:val="28"/>
          <w:szCs w:val="28"/>
        </w:rPr>
        <w:t>非甲烷总烃</w:t>
      </w:r>
      <w:r>
        <w:rPr>
          <w:rFonts w:hint="eastAsia" w:asciiTheme="minorEastAsia" w:hAnsiTheme="minorEastAsia" w:eastAsiaTheme="minorEastAsia" w:cstheme="minorEastAsia"/>
          <w:sz w:val="28"/>
          <w:szCs w:val="28"/>
        </w:rPr>
        <w:t>污染物执行《大气污染物排放标准》（GB16297-1996）表2中相应标准，烟尘执行</w:t>
      </w:r>
      <w:r>
        <w:rPr>
          <w:rFonts w:hint="eastAsia" w:ascii="宋体" w:hAnsi="宋体" w:cs="宋体"/>
          <w:sz w:val="28"/>
          <w:szCs w:val="28"/>
        </w:rPr>
        <w:t>《工业炉窑大气污染物排放标准》（GB9078-96）表2</w:t>
      </w:r>
      <w:r>
        <w:rPr>
          <w:rFonts w:hint="eastAsia" w:ascii="宋体" w:hAnsi="宋体" w:cs="宋体"/>
          <w:sz w:val="28"/>
          <w:szCs w:val="28"/>
          <w:lang w:val="en-US" w:eastAsia="zh-CN"/>
        </w:rPr>
        <w:t>标准</w:t>
      </w:r>
      <w:r>
        <w:rPr>
          <w:rFonts w:hint="eastAsia" w:ascii="宋体" w:hAnsi="宋体" w:cs="宋体"/>
          <w:sz w:val="28"/>
          <w:szCs w:val="28"/>
          <w:lang w:eastAsia="zh-CN"/>
        </w:rPr>
        <w:t>，</w:t>
      </w:r>
      <w:r>
        <w:rPr>
          <w:rFonts w:hint="eastAsia" w:asciiTheme="minorEastAsia" w:hAnsiTheme="minorEastAsia" w:eastAsiaTheme="minorEastAsia" w:cstheme="minorEastAsia"/>
          <w:sz w:val="28"/>
          <w:szCs w:val="28"/>
          <w:lang w:val="en-US" w:eastAsia="zh-CN"/>
        </w:rPr>
        <w:t>SO</w:t>
      </w:r>
      <w:r>
        <w:rPr>
          <w:rFonts w:hint="eastAsia" w:asciiTheme="minorEastAsia" w:hAnsiTheme="minorEastAsia" w:eastAsiaTheme="minorEastAsia" w:cstheme="minorEastAsia"/>
          <w:sz w:val="28"/>
          <w:szCs w:val="28"/>
          <w:vertAlign w:val="subscript"/>
          <w:lang w:val="en-US" w:eastAsia="zh-CN"/>
        </w:rPr>
        <w:t>2</w:t>
      </w:r>
      <w:r>
        <w:rPr>
          <w:rFonts w:hint="eastAsia" w:asciiTheme="minorEastAsia" w:hAnsiTheme="minorEastAsia" w:eastAsiaTheme="minorEastAsia" w:cstheme="minorEastAsia"/>
          <w:sz w:val="28"/>
          <w:szCs w:val="28"/>
          <w:lang w:val="en-US" w:eastAsia="zh-CN"/>
        </w:rPr>
        <w:t>、NO</w:t>
      </w:r>
      <w:r>
        <w:rPr>
          <w:rFonts w:hint="eastAsia" w:asciiTheme="minorEastAsia" w:hAnsiTheme="minorEastAsia" w:eastAsiaTheme="minorEastAsia" w:cstheme="minorEastAsia"/>
          <w:sz w:val="28"/>
          <w:szCs w:val="28"/>
          <w:vertAlign w:val="subscript"/>
          <w:lang w:val="en-US" w:eastAsia="zh-CN"/>
        </w:rPr>
        <w:t>x</w:t>
      </w:r>
      <w:r>
        <w:rPr>
          <w:rFonts w:hint="eastAsia" w:asciiTheme="minorEastAsia" w:hAnsiTheme="minorEastAsia" w:eastAsiaTheme="minorEastAsia" w:cstheme="minorEastAsia"/>
          <w:sz w:val="28"/>
          <w:szCs w:val="28"/>
        </w:rPr>
        <w:t>执行</w:t>
      </w:r>
      <w:r>
        <w:rPr>
          <w:rFonts w:hint="eastAsia" w:ascii="宋体" w:hAnsi="宋体" w:cs="宋体"/>
          <w:sz w:val="28"/>
          <w:szCs w:val="28"/>
        </w:rPr>
        <w:t>《锅炉大气污染物排放标准》(GB13271-2014)相关标准</w:t>
      </w:r>
      <w:r>
        <w:rPr>
          <w:rFonts w:hint="eastAsia" w:asciiTheme="minorEastAsia" w:hAnsiTheme="minorEastAsia" w:eastAsiaTheme="minorEastAsia" w:cstheme="minorEastAsia"/>
          <w:sz w:val="28"/>
          <w:szCs w:val="28"/>
        </w:rPr>
        <w:t>，具体见表1.5-6。</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表1.5-6  大气污染物排放标准</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8"/>
        <w:gridCol w:w="1136"/>
        <w:gridCol w:w="1650"/>
        <w:gridCol w:w="2535"/>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28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污染物</w:t>
            </w:r>
          </w:p>
        </w:tc>
        <w:tc>
          <w:tcPr>
            <w:tcW w:w="1136"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排放浓度</w:t>
            </w:r>
          </w:p>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w:t>
            </w:r>
            <w:r>
              <w:rPr>
                <w:rFonts w:hint="eastAsia" w:asciiTheme="minorEastAsia" w:hAnsiTheme="minorEastAsia" w:eastAsiaTheme="minorEastAsia" w:cstheme="minorEastAsia"/>
                <w:szCs w:val="24"/>
              </w:rPr>
              <w:t>mg/m</w:t>
            </w:r>
            <w:r>
              <w:rPr>
                <w:rFonts w:hint="eastAsia" w:asciiTheme="minorEastAsia" w:hAnsiTheme="minorEastAsia" w:eastAsiaTheme="minorEastAsia" w:cstheme="minorEastAsia"/>
                <w:szCs w:val="24"/>
                <w:vertAlign w:val="superscript"/>
              </w:rPr>
              <w:t>3</w:t>
            </w:r>
            <w:r>
              <w:rPr>
                <w:rFonts w:hint="eastAsia" w:asciiTheme="minorEastAsia" w:hAnsiTheme="minorEastAsia" w:eastAsiaTheme="minorEastAsia" w:cstheme="minorEastAsia"/>
                <w:color w:val="auto"/>
                <w:szCs w:val="24"/>
              </w:rPr>
              <w:t>）</w:t>
            </w:r>
          </w:p>
        </w:tc>
        <w:tc>
          <w:tcPr>
            <w:tcW w:w="165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排放速率强度</w:t>
            </w:r>
          </w:p>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（kg/h）</w:t>
            </w:r>
          </w:p>
        </w:tc>
        <w:tc>
          <w:tcPr>
            <w:tcW w:w="2535" w:type="dxa"/>
            <w:vAlign w:val="center"/>
          </w:tcPr>
          <w:p>
            <w:pPr>
              <w:pStyle w:val="34"/>
              <w:rPr>
                <w:rFonts w:hint="eastAsia" w:asciiTheme="minorEastAsia" w:hAnsiTheme="minorEastAsia" w:eastAsiaTheme="minorEastAsia" w:cstheme="minorEastAsia"/>
                <w:szCs w:val="24"/>
              </w:rPr>
            </w:pPr>
            <w:r>
              <w:rPr>
                <w:rStyle w:val="38"/>
                <w:rFonts w:hint="eastAsia" w:asciiTheme="minorEastAsia" w:hAnsiTheme="minorEastAsia" w:eastAsiaTheme="minorEastAsia" w:cstheme="minorEastAsia"/>
                <w:sz w:val="24"/>
                <w:szCs w:val="24"/>
              </w:rPr>
              <w:t>厂界无组织排放监控浓度限值</w:t>
            </w:r>
            <w:r>
              <w:rPr>
                <w:rFonts w:hint="eastAsia" w:asciiTheme="minorEastAsia" w:hAnsiTheme="minorEastAsia" w:eastAsiaTheme="minorEastAsia" w:cstheme="minorEastAsia"/>
                <w:szCs w:val="24"/>
              </w:rPr>
              <w:t>(mg/m</w:t>
            </w:r>
            <w:r>
              <w:rPr>
                <w:rFonts w:hint="eastAsia" w:asciiTheme="minorEastAsia" w:hAnsiTheme="minorEastAsia" w:eastAsiaTheme="minorEastAsia" w:cstheme="minorEastAsia"/>
                <w:szCs w:val="24"/>
                <w:vertAlign w:val="superscript"/>
              </w:rPr>
              <w:t>3</w:t>
            </w:r>
            <w:r>
              <w:rPr>
                <w:rFonts w:hint="eastAsia" w:asciiTheme="minorEastAsia" w:hAnsiTheme="minorEastAsia" w:eastAsiaTheme="minorEastAsia" w:cstheme="minorEastAsia"/>
                <w:szCs w:val="24"/>
              </w:rPr>
              <w:t>)</w:t>
            </w:r>
          </w:p>
        </w:tc>
        <w:tc>
          <w:tcPr>
            <w:tcW w:w="191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288"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粉尘</w:t>
            </w:r>
          </w:p>
        </w:tc>
        <w:tc>
          <w:tcPr>
            <w:tcW w:w="1136"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rPr>
              <w:t>≤120</w:t>
            </w:r>
          </w:p>
        </w:tc>
        <w:tc>
          <w:tcPr>
            <w:tcW w:w="1650"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rPr>
              <w:t>≤3.5</w:t>
            </w:r>
          </w:p>
        </w:tc>
        <w:tc>
          <w:tcPr>
            <w:tcW w:w="2535"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1.0</w:t>
            </w:r>
          </w:p>
        </w:tc>
        <w:tc>
          <w:tcPr>
            <w:tcW w:w="1913"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 w:hRule="atLeast"/>
          <w:jc w:val="center"/>
        </w:trPr>
        <w:tc>
          <w:tcPr>
            <w:tcW w:w="1288"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甲醛</w:t>
            </w:r>
          </w:p>
        </w:tc>
        <w:tc>
          <w:tcPr>
            <w:tcW w:w="1136"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rPr>
              <w:t>≤25</w:t>
            </w:r>
          </w:p>
        </w:tc>
        <w:tc>
          <w:tcPr>
            <w:tcW w:w="1650"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rPr>
              <w:t>≤0.26</w:t>
            </w:r>
          </w:p>
        </w:tc>
        <w:tc>
          <w:tcPr>
            <w:tcW w:w="2535"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0.2</w:t>
            </w:r>
          </w:p>
        </w:tc>
        <w:tc>
          <w:tcPr>
            <w:tcW w:w="1913" w:type="dxa"/>
            <w:vMerge w:val="continue"/>
            <w:vAlign w:val="center"/>
          </w:tcPr>
          <w:p>
            <w:pPr>
              <w:pStyle w:val="37"/>
              <w:rPr>
                <w:rFonts w:hint="eastAsia" w:asciiTheme="minorEastAsia" w:hAnsiTheme="minorEastAsia" w:eastAsiaTheme="minorEastAsia" w:cstheme="minorEastAsia"/>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 w:hRule="atLeast"/>
          <w:jc w:val="center"/>
        </w:trPr>
        <w:tc>
          <w:tcPr>
            <w:tcW w:w="1288"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非甲烷总烃</w:t>
            </w:r>
          </w:p>
        </w:tc>
        <w:tc>
          <w:tcPr>
            <w:tcW w:w="1136" w:type="dxa"/>
            <w:vAlign w:val="center"/>
          </w:tcPr>
          <w:p>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≤120</w:t>
            </w:r>
          </w:p>
        </w:tc>
        <w:tc>
          <w:tcPr>
            <w:tcW w:w="1650" w:type="dxa"/>
            <w:vAlign w:val="center"/>
          </w:tcPr>
          <w:p>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10.0</w:t>
            </w:r>
          </w:p>
        </w:tc>
        <w:tc>
          <w:tcPr>
            <w:tcW w:w="2535" w:type="dxa"/>
            <w:vAlign w:val="center"/>
          </w:tcPr>
          <w:p>
            <w:pPr>
              <w:pStyle w:val="37"/>
              <w:rPr>
                <w:rFonts w:hint="eastAsia" w:asciiTheme="minorEastAsia" w:hAnsiTheme="minorEastAsia" w:eastAsiaTheme="minorEastAsia" w:cstheme="minorEastAsia"/>
                <w:color w:val="auto"/>
                <w:szCs w:val="24"/>
                <w:lang w:val="en-US" w:eastAsia="zh-CN"/>
              </w:rPr>
            </w:pPr>
            <w:r>
              <w:rPr>
                <w:rFonts w:hint="eastAsia" w:asciiTheme="minorEastAsia" w:hAnsiTheme="minorEastAsia" w:eastAsiaTheme="minorEastAsia" w:cstheme="minorEastAsia"/>
                <w:color w:val="auto"/>
                <w:szCs w:val="24"/>
                <w:lang w:val="en-US" w:eastAsia="zh-CN"/>
              </w:rPr>
              <w:t>4.0</w:t>
            </w:r>
          </w:p>
        </w:tc>
        <w:tc>
          <w:tcPr>
            <w:tcW w:w="1913" w:type="dxa"/>
            <w:vMerge w:val="continue"/>
            <w:vAlign w:val="center"/>
          </w:tcPr>
          <w:p>
            <w:pPr>
              <w:pStyle w:val="37"/>
              <w:rPr>
                <w:rFonts w:hint="eastAsia" w:asciiTheme="minorEastAsia" w:hAnsiTheme="minorEastAsia" w:eastAsiaTheme="minorEastAsia" w:cstheme="minorEastAsia"/>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 w:hRule="atLeast"/>
          <w:jc w:val="center"/>
        </w:trPr>
        <w:tc>
          <w:tcPr>
            <w:tcW w:w="1288"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烟尘</w:t>
            </w:r>
          </w:p>
        </w:tc>
        <w:tc>
          <w:tcPr>
            <w:tcW w:w="1136"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200</w:t>
            </w:r>
          </w:p>
        </w:tc>
        <w:tc>
          <w:tcPr>
            <w:tcW w:w="1650"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w:t>
            </w:r>
          </w:p>
        </w:tc>
        <w:tc>
          <w:tcPr>
            <w:tcW w:w="2535" w:type="dxa"/>
            <w:vAlign w:val="center"/>
          </w:tcPr>
          <w:p>
            <w:pPr>
              <w:pStyle w:val="37"/>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szCs w:val="24"/>
              </w:rPr>
              <w:t>-</w:t>
            </w:r>
          </w:p>
        </w:tc>
        <w:tc>
          <w:tcPr>
            <w:tcW w:w="1913"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GB9078-96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 w:hRule="atLeast"/>
          <w:jc w:val="center"/>
        </w:trPr>
        <w:tc>
          <w:tcPr>
            <w:tcW w:w="1288"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 w:val="28"/>
                <w:szCs w:val="28"/>
                <w:lang w:val="en-US" w:eastAsia="zh-CN"/>
              </w:rPr>
              <w:t>SO</w:t>
            </w:r>
            <w:r>
              <w:rPr>
                <w:rFonts w:hint="eastAsia" w:asciiTheme="minorEastAsia" w:hAnsiTheme="minorEastAsia" w:eastAsiaTheme="minorEastAsia" w:cstheme="minorEastAsia"/>
                <w:sz w:val="28"/>
                <w:szCs w:val="28"/>
                <w:vertAlign w:val="subscript"/>
                <w:lang w:val="en-US" w:eastAsia="zh-CN"/>
              </w:rPr>
              <w:t>2</w:t>
            </w:r>
          </w:p>
        </w:tc>
        <w:tc>
          <w:tcPr>
            <w:tcW w:w="1136" w:type="dxa"/>
            <w:vAlign w:val="center"/>
          </w:tcPr>
          <w:p>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200</w:t>
            </w:r>
          </w:p>
        </w:tc>
        <w:tc>
          <w:tcPr>
            <w:tcW w:w="1650" w:type="dxa"/>
            <w:textDirection w:val="lrTb"/>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w:t>
            </w:r>
          </w:p>
        </w:tc>
        <w:tc>
          <w:tcPr>
            <w:tcW w:w="2535" w:type="dxa"/>
            <w:textDirection w:val="lrTb"/>
            <w:vAlign w:val="center"/>
          </w:tcPr>
          <w:p>
            <w:pPr>
              <w:pStyle w:val="37"/>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w:t>
            </w:r>
          </w:p>
        </w:tc>
        <w:tc>
          <w:tcPr>
            <w:tcW w:w="1913"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 w:hRule="atLeast"/>
          <w:jc w:val="center"/>
        </w:trPr>
        <w:tc>
          <w:tcPr>
            <w:tcW w:w="1288"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 w:val="28"/>
                <w:szCs w:val="28"/>
                <w:lang w:val="en-US" w:eastAsia="zh-CN"/>
              </w:rPr>
              <w:t>NO</w:t>
            </w:r>
            <w:r>
              <w:rPr>
                <w:rFonts w:hint="eastAsia" w:asciiTheme="minorEastAsia" w:hAnsiTheme="minorEastAsia" w:eastAsiaTheme="minorEastAsia" w:cstheme="minorEastAsia"/>
                <w:sz w:val="28"/>
                <w:szCs w:val="28"/>
                <w:vertAlign w:val="subscript"/>
                <w:lang w:val="en-US" w:eastAsia="zh-CN"/>
              </w:rPr>
              <w:t>x</w:t>
            </w:r>
          </w:p>
        </w:tc>
        <w:tc>
          <w:tcPr>
            <w:tcW w:w="1136" w:type="dxa"/>
            <w:vAlign w:val="center"/>
          </w:tcPr>
          <w:p>
            <w:pPr>
              <w:pStyle w:val="34"/>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200</w:t>
            </w:r>
          </w:p>
        </w:tc>
        <w:tc>
          <w:tcPr>
            <w:tcW w:w="1650" w:type="dxa"/>
            <w:textDirection w:val="lrTb"/>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w:t>
            </w:r>
          </w:p>
        </w:tc>
        <w:tc>
          <w:tcPr>
            <w:tcW w:w="2535" w:type="dxa"/>
            <w:textDirection w:val="lrTb"/>
            <w:vAlign w:val="center"/>
          </w:tcPr>
          <w:p>
            <w:pPr>
              <w:pStyle w:val="37"/>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w:t>
            </w:r>
          </w:p>
        </w:tc>
        <w:tc>
          <w:tcPr>
            <w:tcW w:w="1913" w:type="dxa"/>
            <w:vMerge w:val="continue"/>
            <w:vAlign w:val="center"/>
          </w:tcPr>
          <w:p>
            <w:pPr>
              <w:pStyle w:val="37"/>
              <w:rPr>
                <w:rFonts w:hint="eastAsia" w:asciiTheme="minorEastAsia" w:hAnsiTheme="minorEastAsia" w:eastAsiaTheme="minorEastAsia" w:cstheme="minorEastAsia"/>
                <w:color w:val="auto"/>
                <w:szCs w:val="24"/>
              </w:rPr>
            </w:pPr>
          </w:p>
        </w:tc>
      </w:tr>
    </w:tbl>
    <w:p>
      <w:pPr>
        <w:spacing w:before="156" w:beforeLines="5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（2）水污染物接管及排放标准</w:t>
      </w:r>
    </w:p>
    <w:p>
      <w:pPr>
        <w:spacing w:line="360" w:lineRule="auto"/>
        <w:ind w:firstLine="560"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本项目废（污）水接管丹阳市开发区沃特污水处理厂，本项目废（污）水排放执行丹阳市开发区沃特污水处理厂接管标准；丹阳市开发区沃特污水处理厂尾水执行《城镇污水处理厂污染物排放标准》（GB18918-2002）表1一级A标准。具体见表1.5-7。</w:t>
      </w:r>
    </w:p>
    <w:p>
      <w:pPr>
        <w:spacing w:line="360" w:lineRule="auto"/>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 xml:space="preserve">表1.5-7  项目废水接管及排放标准  </w:t>
      </w:r>
      <w:r>
        <w:rPr>
          <w:rFonts w:hint="eastAsia" w:asciiTheme="minorEastAsia" w:hAnsiTheme="minorEastAsia" w:eastAsiaTheme="minorEastAsia" w:cstheme="minorEastAsia"/>
          <w:szCs w:val="21"/>
        </w:rPr>
        <w:t>单位：mg/L，pH无量纲</w:t>
      </w:r>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990"/>
        <w:gridCol w:w="1110"/>
        <w:gridCol w:w="900"/>
        <w:gridCol w:w="885"/>
        <w:gridCol w:w="838"/>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5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污染物</w:t>
            </w:r>
          </w:p>
        </w:tc>
        <w:tc>
          <w:tcPr>
            <w:tcW w:w="990" w:type="dxa"/>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pH</w:t>
            </w:r>
          </w:p>
        </w:tc>
        <w:tc>
          <w:tcPr>
            <w:tcW w:w="1110"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COD</w:t>
            </w:r>
          </w:p>
        </w:tc>
        <w:tc>
          <w:tcPr>
            <w:tcW w:w="900"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SS</w:t>
            </w:r>
          </w:p>
        </w:tc>
        <w:tc>
          <w:tcPr>
            <w:tcW w:w="885"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氨氮</w:t>
            </w:r>
          </w:p>
        </w:tc>
        <w:tc>
          <w:tcPr>
            <w:tcW w:w="83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总磷</w:t>
            </w:r>
          </w:p>
        </w:tc>
        <w:tc>
          <w:tcPr>
            <w:tcW w:w="1015"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5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污水处理厂接管标准</w:t>
            </w:r>
          </w:p>
        </w:tc>
        <w:tc>
          <w:tcPr>
            <w:tcW w:w="990" w:type="dxa"/>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6-9</w:t>
            </w:r>
          </w:p>
        </w:tc>
        <w:tc>
          <w:tcPr>
            <w:tcW w:w="1110"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350</w:t>
            </w:r>
          </w:p>
        </w:tc>
        <w:tc>
          <w:tcPr>
            <w:tcW w:w="900"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400</w:t>
            </w:r>
          </w:p>
        </w:tc>
        <w:tc>
          <w:tcPr>
            <w:tcW w:w="885"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25</w:t>
            </w:r>
          </w:p>
        </w:tc>
        <w:tc>
          <w:tcPr>
            <w:tcW w:w="838"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8</w:t>
            </w:r>
          </w:p>
        </w:tc>
        <w:tc>
          <w:tcPr>
            <w:tcW w:w="1015"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5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污水处理厂排放标准</w:t>
            </w:r>
          </w:p>
        </w:tc>
        <w:tc>
          <w:tcPr>
            <w:tcW w:w="990"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6-9</w:t>
            </w:r>
          </w:p>
        </w:tc>
        <w:tc>
          <w:tcPr>
            <w:tcW w:w="1110"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50</w:t>
            </w:r>
          </w:p>
        </w:tc>
        <w:tc>
          <w:tcPr>
            <w:tcW w:w="900"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10</w:t>
            </w:r>
          </w:p>
        </w:tc>
        <w:tc>
          <w:tcPr>
            <w:tcW w:w="885"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5</w:t>
            </w:r>
          </w:p>
        </w:tc>
        <w:tc>
          <w:tcPr>
            <w:tcW w:w="838"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0.5</w:t>
            </w:r>
          </w:p>
        </w:tc>
        <w:tc>
          <w:tcPr>
            <w:tcW w:w="1015" w:type="dxa"/>
            <w:vAlign w:val="center"/>
          </w:tcPr>
          <w:p>
            <w:pPr>
              <w:pStyle w:val="37"/>
              <w:rPr>
                <w:rFonts w:hint="eastAsia" w:asciiTheme="minorEastAsia" w:hAnsiTheme="minorEastAsia" w:eastAsiaTheme="minorEastAsia" w:cstheme="minorEastAsia"/>
                <w:color w:val="auto"/>
                <w:szCs w:val="24"/>
                <w:lang w:val="en-GB"/>
              </w:rPr>
            </w:pPr>
            <w:r>
              <w:rPr>
                <w:rFonts w:hint="eastAsia" w:asciiTheme="minorEastAsia" w:hAnsiTheme="minorEastAsia" w:eastAsiaTheme="minorEastAsia" w:cstheme="minorEastAsia"/>
                <w:color w:val="auto"/>
                <w:szCs w:val="24"/>
                <w:lang w:val="en-GB"/>
              </w:rPr>
              <w:t>1.0</w:t>
            </w:r>
          </w:p>
        </w:tc>
      </w:tr>
    </w:tbl>
    <w:p>
      <w:pPr>
        <w:spacing w:before="156" w:beforeLines="50" w:line="360" w:lineRule="auto"/>
        <w:ind w:firstLine="560" w:firstLineChars="200"/>
        <w:rPr>
          <w:rFonts w:hint="eastAsia" w:asciiTheme="minorEastAsia" w:hAnsiTheme="minorEastAsia" w:eastAsiaTheme="minorEastAsia" w:cstheme="minorEastAsia"/>
          <w:sz w:val="28"/>
          <w:szCs w:val="28"/>
        </w:rPr>
      </w:pPr>
      <w:bookmarkStart w:id="26" w:name="_Toc224440822"/>
      <w:r>
        <w:rPr>
          <w:rFonts w:hint="eastAsia" w:asciiTheme="minorEastAsia" w:hAnsiTheme="minorEastAsia" w:eastAsiaTheme="minorEastAsia" w:cstheme="minorEastAsia"/>
          <w:sz w:val="28"/>
          <w:szCs w:val="28"/>
        </w:rPr>
        <w:t>（3）噪声排放标准</w:t>
      </w:r>
      <w:bookmarkEnd w:id="26"/>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r>
        <w:rPr>
          <w:rFonts w:hint="eastAsia" w:asciiTheme="minorEastAsia" w:hAnsiTheme="minorEastAsia" w:eastAsiaTheme="minorEastAsia" w:cstheme="minorEastAsia"/>
          <w:snapToGrid w:val="0"/>
          <w:kern w:val="0"/>
          <w:sz w:val="28"/>
          <w:szCs w:val="28"/>
        </w:rPr>
        <w:t>厂界噪声执行《工业企业厂界环境噪声排放标准》（GB12348-2008）3类标准，</w:t>
      </w:r>
      <w:r>
        <w:rPr>
          <w:rFonts w:hint="eastAsia" w:asciiTheme="minorEastAsia" w:hAnsiTheme="minorEastAsia" w:eastAsiaTheme="minorEastAsia" w:cstheme="minorEastAsia"/>
          <w:sz w:val="28"/>
          <w:szCs w:val="28"/>
        </w:rPr>
        <w:t>具体见表1.5-8。</w:t>
      </w:r>
    </w:p>
    <w:p>
      <w:pPr>
        <w:wordWrap w:val="0"/>
        <w:spacing w:line="360" w:lineRule="auto"/>
        <w:jc w:val="righ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表1.5-8 噪声评价标准         </w:t>
      </w:r>
      <w:r>
        <w:rPr>
          <w:rFonts w:hint="eastAsia" w:asciiTheme="minorEastAsia" w:hAnsiTheme="minorEastAsia" w:eastAsiaTheme="minorEastAsia" w:cstheme="minorEastAsia"/>
          <w:szCs w:val="21"/>
        </w:rPr>
        <w:t>单位：dB（A）</w:t>
      </w:r>
      <w:r>
        <w:rPr>
          <w:rFonts w:hint="eastAsia" w:asciiTheme="minorEastAsia" w:hAnsiTheme="minorEastAsia" w:eastAsiaTheme="minorEastAsia" w:cstheme="minorEastAsia"/>
          <w:sz w:val="28"/>
          <w:szCs w:val="28"/>
        </w:rPr>
        <w:t xml:space="preserve"> </w:t>
      </w:r>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104"/>
        <w:gridCol w:w="15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4106"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标准</w:t>
            </w:r>
          </w:p>
        </w:tc>
        <w:tc>
          <w:tcPr>
            <w:tcW w:w="1104"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类别</w:t>
            </w:r>
          </w:p>
        </w:tc>
        <w:tc>
          <w:tcPr>
            <w:tcW w:w="154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昼间</w:t>
            </w:r>
          </w:p>
        </w:tc>
        <w:tc>
          <w:tcPr>
            <w:tcW w:w="154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4106"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《工业企业厂界环境噪声排放标准》(GB12348-2008)</w:t>
            </w:r>
          </w:p>
        </w:tc>
        <w:tc>
          <w:tcPr>
            <w:tcW w:w="1104"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c>
          <w:tcPr>
            <w:tcW w:w="154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65</w:t>
            </w:r>
          </w:p>
        </w:tc>
        <w:tc>
          <w:tcPr>
            <w:tcW w:w="1543"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55</w:t>
            </w:r>
          </w:p>
        </w:tc>
      </w:tr>
    </w:tbl>
    <w:p>
      <w:pPr>
        <w:rPr>
          <w:rFonts w:hint="eastAsia" w:asciiTheme="minorEastAsia" w:hAnsiTheme="minorEastAsia" w:eastAsiaTheme="minorEastAsia" w:cstheme="minorEastAsia"/>
        </w:rPr>
      </w:pPr>
    </w:p>
    <w:p>
      <w:pPr>
        <w:widowControl/>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9"/>
        <w:spacing w:before="156" w:after="156"/>
        <w:ind w:firstLine="480"/>
        <w:jc w:val="center"/>
        <w:rPr>
          <w:rFonts w:hint="eastAsia" w:asciiTheme="minorEastAsia" w:hAnsiTheme="minorEastAsia" w:eastAsiaTheme="minorEastAsia" w:cstheme="minorEastAsia"/>
          <w:sz w:val="28"/>
        </w:rPr>
      </w:pPr>
      <w:bookmarkStart w:id="27" w:name="_Toc16505"/>
      <w:r>
        <w:rPr>
          <w:rFonts w:hint="eastAsia" w:asciiTheme="minorEastAsia" w:hAnsiTheme="minorEastAsia" w:eastAsiaTheme="minorEastAsia" w:cstheme="minorEastAsia"/>
          <w:snapToGrid w:val="0"/>
          <w:kern w:val="0"/>
        </w:rPr>
        <w:t>第2章 建设项目现状分析</w:t>
      </w:r>
      <w:bookmarkEnd w:id="27"/>
    </w:p>
    <w:p>
      <w:pPr>
        <w:pStyle w:val="30"/>
        <w:spacing w:before="156" w:after="156"/>
        <w:rPr>
          <w:rFonts w:hint="eastAsia" w:asciiTheme="minorEastAsia" w:hAnsiTheme="minorEastAsia" w:eastAsiaTheme="minorEastAsia" w:cstheme="minorEastAsia"/>
        </w:rPr>
      </w:pPr>
      <w:bookmarkStart w:id="28" w:name="_Toc32134"/>
      <w:bookmarkStart w:id="29" w:name="_Toc224440845"/>
      <w:bookmarkStart w:id="30" w:name="_Toc146436344"/>
      <w:r>
        <w:rPr>
          <w:rFonts w:hint="eastAsia" w:asciiTheme="minorEastAsia" w:hAnsiTheme="minorEastAsia" w:eastAsiaTheme="minorEastAsia" w:cstheme="minorEastAsia"/>
        </w:rPr>
        <w:t>2.1项目概况</w:t>
      </w:r>
      <w:bookmarkEnd w:id="28"/>
      <w:bookmarkEnd w:id="29"/>
      <w:bookmarkEnd w:id="30"/>
    </w:p>
    <w:p>
      <w:pPr>
        <w:pStyle w:val="32"/>
        <w:spacing w:before="156" w:after="156"/>
        <w:rPr>
          <w:rFonts w:hint="eastAsia" w:asciiTheme="minorEastAsia" w:hAnsiTheme="minorEastAsia" w:eastAsiaTheme="minorEastAsia" w:cstheme="minorEastAsia"/>
        </w:rPr>
      </w:pPr>
      <w:bookmarkStart w:id="31" w:name="_Toc224440847"/>
      <w:r>
        <w:rPr>
          <w:rFonts w:hint="eastAsia" w:asciiTheme="minorEastAsia" w:hAnsiTheme="minorEastAsia" w:eastAsiaTheme="minorEastAsia" w:cstheme="minorEastAsia"/>
        </w:rPr>
        <w:t>2.1.1</w:t>
      </w:r>
      <w:bookmarkEnd w:id="31"/>
      <w:r>
        <w:rPr>
          <w:rFonts w:hint="eastAsia" w:asciiTheme="minorEastAsia" w:hAnsiTheme="minorEastAsia" w:eastAsiaTheme="minorEastAsia" w:cstheme="minorEastAsia"/>
          <w:lang w:val="en-US" w:eastAsia="zh-CN"/>
        </w:rPr>
        <w:t>基本信息</w:t>
      </w:r>
    </w:p>
    <w:p>
      <w:pPr>
        <w:spacing w:line="360" w:lineRule="auto"/>
        <w:ind w:firstLine="560" w:firstLineChars="200"/>
        <w:rPr>
          <w:rFonts w:hint="eastAsia" w:asciiTheme="minorEastAsia" w:hAnsiTheme="minorEastAsia" w:eastAsiaTheme="minorEastAsia" w:cstheme="minorEastAsia"/>
          <w:sz w:val="28"/>
          <w:szCs w:val="28"/>
        </w:rPr>
      </w:pPr>
      <w:bookmarkStart w:id="32" w:name="_Toc59284068"/>
      <w:r>
        <w:rPr>
          <w:rFonts w:hint="eastAsia" w:asciiTheme="minorEastAsia" w:hAnsiTheme="minorEastAsia" w:eastAsiaTheme="minorEastAsia" w:cstheme="minorEastAsia"/>
          <w:sz w:val="28"/>
          <w:szCs w:val="28"/>
        </w:rPr>
        <w:t>项目名称：年产1000万m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强化地板扩能项目；</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建设单位：大亚人造板集团有限公司；</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建设性质：已建；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行业类别：[C20] 木材加工业；</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建设地点：</w:t>
      </w:r>
      <w:r>
        <w:rPr>
          <w:rFonts w:hint="eastAsia" w:asciiTheme="minorEastAsia" w:hAnsiTheme="minorEastAsia" w:eastAsiaTheme="minorEastAsia" w:cstheme="minorEastAsia"/>
          <w:kern w:val="0"/>
          <w:sz w:val="28"/>
          <w:szCs w:val="28"/>
        </w:rPr>
        <w:t>丹阳市经济开发区大亚木业园</w:t>
      </w:r>
      <w:r>
        <w:rPr>
          <w:rFonts w:hint="eastAsia" w:asciiTheme="minorEastAsia" w:hAnsiTheme="minorEastAsia" w:eastAsiaTheme="minorEastAsia" w:cstheme="minorEastAsia"/>
          <w:sz w:val="28"/>
          <w:szCs w:val="28"/>
        </w:rPr>
        <w:t>；</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投资总额：18000万元人民币；</w:t>
      </w:r>
    </w:p>
    <w:p>
      <w:pPr>
        <w:autoSpaceDE w:val="0"/>
        <w:autoSpaceDN w:val="0"/>
        <w:adjustRightInd w:val="0"/>
        <w:spacing w:line="520" w:lineRule="exact"/>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占地面积：总占地约17136平方米；</w:t>
      </w:r>
    </w:p>
    <w:p>
      <w:pPr>
        <w:autoSpaceDE w:val="0"/>
        <w:autoSpaceDN w:val="0"/>
        <w:adjustRightInd w:val="0"/>
        <w:spacing w:line="520" w:lineRule="exact"/>
        <w:ind w:firstLine="560" w:firstLineChars="200"/>
        <w:jc w:val="left"/>
        <w:rPr>
          <w:rFonts w:ascii="宋体" w:hAnsi="宋体"/>
          <w:kern w:val="0"/>
          <w:sz w:val="28"/>
          <w:szCs w:val="28"/>
        </w:rPr>
      </w:pPr>
      <w:r>
        <w:rPr>
          <w:rFonts w:ascii="宋体" w:hAnsi="宋体"/>
          <w:kern w:val="0"/>
          <w:sz w:val="28"/>
          <w:szCs w:val="28"/>
        </w:rPr>
        <w:t>职工人数：</w:t>
      </w:r>
      <w:r>
        <w:rPr>
          <w:rFonts w:hint="eastAsia" w:ascii="宋体" w:hAnsi="宋体"/>
          <w:kern w:val="0"/>
          <w:sz w:val="28"/>
          <w:szCs w:val="28"/>
          <w:lang w:val="en-US" w:eastAsia="zh-CN"/>
        </w:rPr>
        <w:t>108</w:t>
      </w:r>
      <w:r>
        <w:rPr>
          <w:rFonts w:ascii="宋体" w:hAnsi="宋体"/>
          <w:kern w:val="0"/>
          <w:sz w:val="28"/>
          <w:szCs w:val="28"/>
        </w:rPr>
        <w:t>人；</w:t>
      </w:r>
    </w:p>
    <w:p>
      <w:pPr>
        <w:spacing w:line="360" w:lineRule="auto"/>
        <w:ind w:firstLine="560" w:firstLineChars="200"/>
        <w:rPr>
          <w:rFonts w:hint="eastAsia" w:asciiTheme="minorEastAsia" w:hAnsiTheme="minorEastAsia" w:eastAsiaTheme="minorEastAsia" w:cstheme="minorEastAsia"/>
          <w:sz w:val="28"/>
          <w:szCs w:val="28"/>
        </w:rPr>
      </w:pPr>
      <w:r>
        <w:rPr>
          <w:rFonts w:ascii="宋体" w:hAnsi="宋体"/>
          <w:kern w:val="0"/>
          <w:sz w:val="28"/>
          <w:szCs w:val="28"/>
        </w:rPr>
        <w:t>年生产时间：</w:t>
      </w:r>
      <w:r>
        <w:rPr>
          <w:rFonts w:hint="eastAsia" w:ascii="宋体" w:hAnsi="宋体"/>
          <w:kern w:val="0"/>
          <w:sz w:val="28"/>
          <w:szCs w:val="28"/>
          <w:lang w:val="en-US" w:eastAsia="zh-CN"/>
        </w:rPr>
        <w:t>三班两倒制，每班工作8小时</w:t>
      </w:r>
      <w:r>
        <w:rPr>
          <w:rFonts w:hint="eastAsia" w:ascii="宋体" w:hAnsi="宋体"/>
          <w:kern w:val="0"/>
          <w:sz w:val="28"/>
          <w:szCs w:val="28"/>
        </w:rPr>
        <w:t>，</w:t>
      </w:r>
      <w:r>
        <w:rPr>
          <w:rFonts w:ascii="宋体" w:hAnsi="宋体"/>
          <w:kern w:val="0"/>
          <w:sz w:val="28"/>
          <w:szCs w:val="28"/>
        </w:rPr>
        <w:t>全年工作日300天；</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建设规模：年产1000万m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强化地板</w:t>
      </w:r>
      <w:r>
        <w:rPr>
          <w:rFonts w:hint="eastAsia" w:asciiTheme="minorEastAsia" w:hAnsiTheme="minorEastAsia" w:eastAsiaTheme="minorEastAsia" w:cstheme="minorEastAsia"/>
          <w:kern w:val="0"/>
          <w:sz w:val="28"/>
          <w:szCs w:val="28"/>
        </w:rPr>
        <w:t>。</w:t>
      </w:r>
    </w:p>
    <w:bookmarkEnd w:id="32"/>
    <w:p>
      <w:pPr>
        <w:pStyle w:val="32"/>
        <w:spacing w:before="156" w:after="156"/>
        <w:rPr>
          <w:rFonts w:hint="eastAsia" w:asciiTheme="minorEastAsia" w:hAnsiTheme="minorEastAsia" w:eastAsiaTheme="minorEastAsia" w:cstheme="minorEastAsia"/>
        </w:rPr>
      </w:pPr>
      <w:bookmarkStart w:id="33" w:name="_Toc224440848"/>
      <w:r>
        <w:rPr>
          <w:rFonts w:hint="eastAsia" w:asciiTheme="minorEastAsia" w:hAnsiTheme="minorEastAsia" w:eastAsiaTheme="minorEastAsia" w:cstheme="minorEastAsia"/>
        </w:rPr>
        <w:t>2.1.2产品方案</w:t>
      </w:r>
      <w:bookmarkEnd w:id="33"/>
      <w:r>
        <w:rPr>
          <w:rFonts w:hint="eastAsia" w:asciiTheme="minorEastAsia" w:hAnsiTheme="minorEastAsia" w:eastAsiaTheme="minorEastAsia" w:cstheme="minorEastAsia"/>
        </w:rPr>
        <w:t>及工程内容</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（1）产品方案</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建设项目产品方案具体见表2.1-1。</w:t>
      </w:r>
    </w:p>
    <w:p>
      <w:pPr>
        <w:pStyle w:val="5"/>
        <w:spacing w:before="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表2.1-1  建设项目主体工程及产品方案</w:t>
      </w:r>
    </w:p>
    <w:tbl>
      <w:tblPr>
        <w:tblStyle w:val="20"/>
        <w:tblW w:w="8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411"/>
        <w:gridCol w:w="2315"/>
        <w:gridCol w:w="2409"/>
        <w:gridCol w:w="636"/>
        <w:gridCol w:w="174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60" w:hRule="atLeast"/>
          <w:jc w:val="center"/>
        </w:trPr>
        <w:tc>
          <w:tcPr>
            <w:tcW w:w="411"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序号</w:t>
            </w:r>
          </w:p>
        </w:tc>
        <w:tc>
          <w:tcPr>
            <w:tcW w:w="2315"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工程名称（车间、生产装置或生产线）</w:t>
            </w:r>
          </w:p>
        </w:tc>
        <w:tc>
          <w:tcPr>
            <w:tcW w:w="2409"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产品名称</w:t>
            </w:r>
          </w:p>
        </w:tc>
        <w:tc>
          <w:tcPr>
            <w:tcW w:w="636"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规格</w:t>
            </w:r>
          </w:p>
        </w:tc>
        <w:tc>
          <w:tcPr>
            <w:tcW w:w="1747"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设计生产能力</w:t>
            </w:r>
          </w:p>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（m</w:t>
            </w:r>
            <w:r>
              <w:rPr>
                <w:rFonts w:hint="eastAsia" w:asciiTheme="minorEastAsia" w:hAnsiTheme="minorEastAsia" w:eastAsiaTheme="minorEastAsia" w:cstheme="minorEastAsia"/>
                <w:bCs/>
                <w:sz w:val="24"/>
                <w:vertAlign w:val="superscript"/>
              </w:rPr>
              <w:t>2</w:t>
            </w:r>
            <w:r>
              <w:rPr>
                <w:rFonts w:hint="eastAsia" w:asciiTheme="minorEastAsia" w:hAnsiTheme="minorEastAsia" w:eastAsiaTheme="minorEastAsia" w:cstheme="minorEastAsia"/>
                <w:bCs/>
                <w:sz w:val="24"/>
              </w:rPr>
              <w:t>/年）</w:t>
            </w:r>
          </w:p>
        </w:tc>
        <w:tc>
          <w:tcPr>
            <w:tcW w:w="907"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年运行时数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60" w:hRule="atLeast"/>
          <w:jc w:val="center"/>
        </w:trPr>
        <w:tc>
          <w:tcPr>
            <w:tcW w:w="411" w:type="dxa"/>
            <w:vAlign w:val="center"/>
          </w:tcPr>
          <w:p>
            <w:pPr>
              <w:adjustRightInd w:val="0"/>
              <w:jc w:val="center"/>
              <w:textAlignment w:val="baseline"/>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lang w:val="en-US" w:eastAsia="zh-CN"/>
              </w:rPr>
              <w:t>1</w:t>
            </w:r>
          </w:p>
        </w:tc>
        <w:tc>
          <w:tcPr>
            <w:tcW w:w="2315"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lang w:val="en-US" w:eastAsia="zh-CN"/>
              </w:rPr>
              <w:t>强化</w:t>
            </w:r>
            <w:r>
              <w:rPr>
                <w:rFonts w:hint="eastAsia" w:asciiTheme="minorEastAsia" w:hAnsiTheme="minorEastAsia" w:eastAsiaTheme="minorEastAsia" w:cstheme="minorEastAsia"/>
                <w:bCs/>
                <w:sz w:val="24"/>
              </w:rPr>
              <w:t>地板生产线</w:t>
            </w:r>
          </w:p>
        </w:tc>
        <w:tc>
          <w:tcPr>
            <w:tcW w:w="2409"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强化地板</w:t>
            </w:r>
          </w:p>
        </w:tc>
        <w:tc>
          <w:tcPr>
            <w:tcW w:w="636"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p>
        </w:tc>
        <w:tc>
          <w:tcPr>
            <w:tcW w:w="1747" w:type="dxa"/>
            <w:vAlign w:val="center"/>
          </w:tcPr>
          <w:p>
            <w:pPr>
              <w:adjustRightInd w:val="0"/>
              <w:jc w:val="center"/>
              <w:textAlignment w:val="baseline"/>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1000万</w:t>
            </w:r>
          </w:p>
        </w:tc>
        <w:tc>
          <w:tcPr>
            <w:tcW w:w="907" w:type="dxa"/>
            <w:vAlign w:val="center"/>
          </w:tcPr>
          <w:p>
            <w:pPr>
              <w:adjustRightInd w:val="0"/>
              <w:jc w:val="center"/>
              <w:textAlignment w:val="baseline"/>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7200</w:t>
            </w:r>
          </w:p>
        </w:tc>
      </w:tr>
    </w:tbl>
    <w:p>
      <w:pPr>
        <w:rPr>
          <w:rFonts w:hint="eastAsia" w:asciiTheme="minorEastAsia" w:hAnsiTheme="minorEastAsia" w:eastAsiaTheme="minorEastAsia" w:cstheme="minorEastAsia"/>
        </w:rPr>
      </w:pPr>
    </w:p>
    <w:p>
      <w:pPr>
        <w:spacing w:before="156" w:beforeLines="5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（2）工程内容</w:t>
      </w:r>
    </w:p>
    <w:p>
      <w:pPr>
        <w:spacing w:line="360" w:lineRule="auto"/>
        <w:ind w:firstLine="560"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 xml:space="preserve">本项目利用现有仓库进行改造后作为生产车间，无新征土地；另外在原有厂区空地新建热油炉间，本项目工程内容见表2.1-2。 </w:t>
      </w:r>
    </w:p>
    <w:p>
      <w:pPr>
        <w:pStyle w:val="5"/>
        <w:spacing w:before="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2.1-2  项目工程内容表</w:t>
      </w:r>
    </w:p>
    <w:tbl>
      <w:tblPr>
        <w:tblStyle w:val="20"/>
        <w:tblW w:w="8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860"/>
        <w:gridCol w:w="2620"/>
        <w:gridCol w:w="2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类别</w:t>
            </w: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建设内容</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设计能力</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Align w:val="center"/>
          </w:tcPr>
          <w:p>
            <w:pPr>
              <w:pStyle w:val="34"/>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主体工程</w:t>
            </w: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1#车间</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共一层，占地面积17136m</w:t>
            </w:r>
            <w:r>
              <w:rPr>
                <w:rFonts w:hint="eastAsia" w:asciiTheme="minorEastAsia" w:hAnsiTheme="minorEastAsia" w:eastAsiaTheme="minorEastAsia" w:cstheme="minorEastAsia"/>
                <w:color w:val="auto"/>
                <w:szCs w:val="24"/>
                <w:vertAlign w:val="superscript"/>
              </w:rPr>
              <w:t>2</w:t>
            </w:r>
            <w:r>
              <w:rPr>
                <w:rFonts w:hint="eastAsia" w:asciiTheme="minorEastAsia" w:hAnsiTheme="minorEastAsia" w:eastAsiaTheme="minorEastAsia" w:cstheme="minorEastAsia"/>
                <w:color w:val="auto"/>
                <w:szCs w:val="24"/>
              </w:rPr>
              <w:t>，建筑面积16848m</w:t>
            </w:r>
            <w:r>
              <w:rPr>
                <w:rFonts w:hint="eastAsia" w:asciiTheme="minorEastAsia" w:hAnsiTheme="minorEastAsia" w:eastAsiaTheme="minorEastAsia" w:cstheme="minorEastAsia"/>
                <w:color w:val="auto"/>
                <w:szCs w:val="24"/>
                <w:vertAlign w:val="superscript"/>
              </w:rPr>
              <w:t>2</w:t>
            </w:r>
            <w:r>
              <w:rPr>
                <w:rFonts w:hint="eastAsia" w:asciiTheme="minorEastAsia" w:hAnsiTheme="minorEastAsia" w:eastAsiaTheme="minorEastAsia" w:cstheme="minorEastAsia"/>
                <w:color w:val="auto"/>
                <w:szCs w:val="24"/>
              </w:rPr>
              <w:t xml:space="preserve"> ；</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已建，其中分为浸渍纸库占地面积562 m</w:t>
            </w:r>
            <w:r>
              <w:rPr>
                <w:rFonts w:hint="eastAsia" w:asciiTheme="minorEastAsia" w:hAnsiTheme="minorEastAsia" w:eastAsiaTheme="minorEastAsia" w:cstheme="minorEastAsia"/>
                <w:color w:val="auto"/>
                <w:szCs w:val="24"/>
                <w:vertAlign w:val="superscript"/>
              </w:rPr>
              <w:t>2</w:t>
            </w:r>
            <w:r>
              <w:rPr>
                <w:rFonts w:hint="eastAsia" w:asciiTheme="minorEastAsia" w:hAnsiTheme="minorEastAsia" w:eastAsiaTheme="minorEastAsia" w:cstheme="minorEastAsia"/>
                <w:color w:val="auto"/>
                <w:szCs w:val="24"/>
              </w:rPr>
              <w:t>、原纸库806.3 m</w:t>
            </w:r>
            <w:r>
              <w:rPr>
                <w:rFonts w:hint="eastAsia" w:asciiTheme="minorEastAsia" w:hAnsiTheme="minorEastAsia" w:eastAsiaTheme="minorEastAsia" w:cstheme="minorEastAsia"/>
                <w:color w:val="auto"/>
                <w:szCs w:val="24"/>
                <w:vertAlign w:val="superscript"/>
              </w:rPr>
              <w:t>2</w:t>
            </w:r>
            <w:r>
              <w:rPr>
                <w:rFonts w:hint="eastAsia" w:asciiTheme="minorEastAsia" w:hAnsiTheme="minorEastAsia" w:eastAsiaTheme="minorEastAsia" w:cstheme="minorEastAsia"/>
                <w:color w:val="auto"/>
                <w:szCs w:val="24"/>
              </w:rPr>
              <w:t>、包装材料区641.7 m</w:t>
            </w:r>
            <w:r>
              <w:rPr>
                <w:rFonts w:hint="eastAsia" w:asciiTheme="minorEastAsia" w:hAnsiTheme="minorEastAsia" w:eastAsiaTheme="minorEastAsia" w:cstheme="minorEastAsia"/>
                <w:color w:val="auto"/>
                <w:szCs w:val="24"/>
                <w:vertAlign w:val="superscript"/>
              </w:rPr>
              <w:t>2</w:t>
            </w:r>
            <w:r>
              <w:rPr>
                <w:rFonts w:hint="eastAsia" w:asciiTheme="minorEastAsia" w:hAnsiTheme="minorEastAsia" w:eastAsiaTheme="minorEastAsia" w:cstheme="minorEastAsia"/>
                <w:color w:val="auto"/>
                <w:szCs w:val="24"/>
              </w:rPr>
              <w:t>、养生区1929 m</w:t>
            </w:r>
            <w:r>
              <w:rPr>
                <w:rFonts w:hint="eastAsia" w:asciiTheme="minorEastAsia" w:hAnsiTheme="minorEastAsia" w:eastAsiaTheme="minorEastAsia" w:cstheme="minorEastAsia"/>
                <w:color w:val="auto"/>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9" w:hRule="atLeast"/>
          <w:jc w:val="center"/>
        </w:trPr>
        <w:tc>
          <w:tcPr>
            <w:tcW w:w="764"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贮运</w:t>
            </w:r>
          </w:p>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工程</w:t>
            </w: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汽车及集装箱运输</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汽车、集装箱若干</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委托社会车辆及企业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7"/>
              <w:rPr>
                <w:rFonts w:hint="eastAsia" w:asciiTheme="minorEastAsia" w:hAnsiTheme="minorEastAsia" w:eastAsiaTheme="minorEastAsia" w:cstheme="minorEastAsia"/>
                <w:color w:val="auto"/>
                <w:szCs w:val="24"/>
              </w:rPr>
            </w:pP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贮存仓库</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原材料806.3 m</w:t>
            </w:r>
            <w:r>
              <w:rPr>
                <w:rFonts w:hint="eastAsia" w:asciiTheme="minorEastAsia" w:hAnsiTheme="minorEastAsia" w:eastAsiaTheme="minorEastAsia" w:cstheme="minorEastAsia"/>
                <w:color w:val="auto"/>
                <w:szCs w:val="24"/>
                <w:vertAlign w:val="superscript"/>
              </w:rPr>
              <w:t>2</w:t>
            </w:r>
            <w:r>
              <w:rPr>
                <w:rFonts w:hint="eastAsia" w:asciiTheme="minorEastAsia" w:hAnsiTheme="minorEastAsia" w:eastAsiaTheme="minorEastAsia" w:cstheme="minorEastAsia"/>
                <w:color w:val="auto"/>
                <w:szCs w:val="24"/>
              </w:rPr>
              <w:t>，包装材料区641.7 m</w:t>
            </w:r>
            <w:r>
              <w:rPr>
                <w:rFonts w:hint="eastAsia" w:asciiTheme="minorEastAsia" w:hAnsiTheme="minorEastAsia" w:eastAsiaTheme="minorEastAsia" w:cstheme="minorEastAsia"/>
                <w:color w:val="auto"/>
                <w:szCs w:val="24"/>
                <w:vertAlign w:val="superscript"/>
              </w:rPr>
              <w:t>2</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储存胶罐仓库864 m</w:t>
            </w:r>
            <w:r>
              <w:rPr>
                <w:rFonts w:hint="eastAsia" w:asciiTheme="minorEastAsia" w:hAnsiTheme="minorEastAsia" w:eastAsiaTheme="minorEastAsia" w:cstheme="minorEastAsia"/>
                <w:color w:val="auto"/>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公用</w:t>
            </w:r>
          </w:p>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工程</w:t>
            </w: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给水</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w:t>
            </w:r>
            <w:r>
              <w:rPr>
                <w:rFonts w:hint="eastAsia" w:asciiTheme="minorEastAsia" w:hAnsiTheme="minorEastAsia" w:eastAsiaTheme="minorEastAsia" w:cstheme="minorEastAsia"/>
                <w:color w:val="auto"/>
                <w:szCs w:val="24"/>
                <w:lang w:val="en-US" w:eastAsia="zh-CN"/>
              </w:rPr>
              <w:t>18</w:t>
            </w:r>
            <w:r>
              <w:rPr>
                <w:rFonts w:hint="eastAsia" w:asciiTheme="minorEastAsia" w:hAnsiTheme="minorEastAsia" w:eastAsiaTheme="minorEastAsia" w:cstheme="minorEastAsia"/>
                <w:szCs w:val="24"/>
              </w:rPr>
              <w:t>t</w:t>
            </w:r>
            <w:r>
              <w:rPr>
                <w:rFonts w:hint="eastAsia" w:asciiTheme="minorEastAsia" w:hAnsiTheme="minorEastAsia" w:eastAsiaTheme="minorEastAsia" w:cstheme="minorEastAsia"/>
                <w:color w:val="auto"/>
                <w:szCs w:val="24"/>
              </w:rPr>
              <w:t>/h</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丹阳市自来水厂及管网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7"/>
              <w:rPr>
                <w:rFonts w:hint="eastAsia" w:asciiTheme="minorEastAsia" w:hAnsiTheme="minorEastAsia" w:eastAsiaTheme="minorEastAsia" w:cstheme="minorEastAsia"/>
                <w:color w:val="auto"/>
                <w:szCs w:val="24"/>
              </w:rPr>
            </w:pP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排水</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val="en-US" w:eastAsia="zh-CN"/>
              </w:rPr>
              <w:t>13</w:t>
            </w:r>
            <w:r>
              <w:rPr>
                <w:rFonts w:hint="eastAsia" w:asciiTheme="minorEastAsia" w:hAnsiTheme="minorEastAsia" w:eastAsiaTheme="minorEastAsia" w:cstheme="minorEastAsia"/>
                <w:color w:val="auto"/>
                <w:szCs w:val="24"/>
              </w:rPr>
              <w:t>m</w:t>
            </w:r>
            <w:r>
              <w:rPr>
                <w:rFonts w:hint="eastAsia" w:asciiTheme="minorEastAsia" w:hAnsiTheme="minorEastAsia" w:eastAsiaTheme="minorEastAsia" w:cstheme="minorEastAsia"/>
                <w:color w:val="auto"/>
                <w:szCs w:val="24"/>
                <w:vertAlign w:val="superscript"/>
                <w:lang w:val="en-US" w:eastAsia="zh-CN"/>
              </w:rPr>
              <w:t>3</w:t>
            </w:r>
            <w:r>
              <w:rPr>
                <w:rFonts w:hint="eastAsia" w:asciiTheme="minorEastAsia" w:hAnsiTheme="minorEastAsia" w:eastAsiaTheme="minorEastAsia" w:cstheme="minorEastAsia"/>
                <w:color w:val="auto"/>
                <w:szCs w:val="24"/>
                <w:vertAlign w:val="baseline"/>
                <w:lang w:val="en-US" w:eastAsia="zh-CN"/>
              </w:rPr>
              <w:t>/d</w:t>
            </w:r>
          </w:p>
        </w:tc>
        <w:tc>
          <w:tcPr>
            <w:tcW w:w="2848" w:type="dxa"/>
            <w:vAlign w:val="center"/>
          </w:tcPr>
          <w:p>
            <w:pPr>
              <w:pStyle w:val="37"/>
              <w:rPr>
                <w:rFonts w:hint="eastAsia" w:asciiTheme="minorEastAsia" w:hAnsiTheme="minorEastAsia" w:eastAsiaTheme="minorEastAsia" w:cstheme="minorEastAsia"/>
                <w:color w:val="auto"/>
                <w:spacing w:val="0"/>
                <w:kern w:val="2"/>
                <w:szCs w:val="24"/>
              </w:rPr>
            </w:pPr>
            <w:r>
              <w:rPr>
                <w:rFonts w:hint="eastAsia" w:asciiTheme="minorEastAsia" w:hAnsiTheme="minorEastAsia" w:eastAsiaTheme="minorEastAsia" w:cstheme="minorEastAsia"/>
                <w:color w:val="auto"/>
                <w:szCs w:val="24"/>
              </w:rPr>
              <w:t>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8"/>
              <w:rPr>
                <w:rFonts w:hint="eastAsia" w:asciiTheme="minorEastAsia" w:hAnsiTheme="minorEastAsia" w:eastAsiaTheme="minorEastAsia" w:cstheme="minorEastAsia"/>
                <w:sz w:val="24"/>
              </w:rPr>
            </w:pP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循环冷却水系统</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30</w:t>
            </w:r>
            <w:r>
              <w:rPr>
                <w:rFonts w:hint="eastAsia" w:asciiTheme="minorEastAsia" w:hAnsiTheme="minorEastAsia" w:eastAsiaTheme="minorEastAsia" w:cstheme="minorEastAsia"/>
                <w:szCs w:val="24"/>
              </w:rPr>
              <w:t>t</w:t>
            </w:r>
            <w:r>
              <w:rPr>
                <w:rFonts w:hint="eastAsia" w:asciiTheme="minorEastAsia" w:hAnsiTheme="minorEastAsia" w:eastAsiaTheme="minorEastAsia" w:cstheme="minorEastAsia"/>
                <w:color w:val="auto"/>
                <w:szCs w:val="24"/>
              </w:rPr>
              <w:t>/h</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设循环水池及冷却塔装置1套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4"/>
              <w:rPr>
                <w:rFonts w:hint="eastAsia" w:asciiTheme="minorEastAsia" w:hAnsiTheme="minorEastAsia" w:eastAsiaTheme="minorEastAsia" w:cstheme="minorEastAsia"/>
                <w:szCs w:val="24"/>
              </w:rPr>
            </w:pPr>
          </w:p>
        </w:tc>
        <w:tc>
          <w:tcPr>
            <w:tcW w:w="1860" w:type="dxa"/>
            <w:vAlign w:val="center"/>
          </w:tcPr>
          <w:p>
            <w:pPr>
              <w:pStyle w:val="37"/>
              <w:ind w:firstLine="480"/>
              <w:jc w:val="both"/>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供电</w:t>
            </w:r>
          </w:p>
        </w:tc>
        <w:tc>
          <w:tcPr>
            <w:tcW w:w="2620" w:type="dxa"/>
            <w:vAlign w:val="center"/>
          </w:tcPr>
          <w:p>
            <w:pPr>
              <w:pStyle w:val="37"/>
              <w:jc w:val="center"/>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设置2800kvA干式变压器</w:t>
            </w:r>
          </w:p>
        </w:tc>
        <w:tc>
          <w:tcPr>
            <w:tcW w:w="2848"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变电所依托现有，配电站新建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4"/>
              <w:rPr>
                <w:rFonts w:hint="eastAsia" w:asciiTheme="minorEastAsia" w:hAnsiTheme="minorEastAsia" w:eastAsiaTheme="minorEastAsia" w:cstheme="minorEastAsia"/>
                <w:szCs w:val="24"/>
              </w:rPr>
            </w:pP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供热（汽）</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设置301万kcal/h热油炉1台</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highlight w:val="none"/>
              </w:rPr>
              <w:t>燃料均为碎木材及木屑等废料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环保</w:t>
            </w:r>
          </w:p>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工程</w:t>
            </w:r>
          </w:p>
        </w:tc>
        <w:tc>
          <w:tcPr>
            <w:tcW w:w="1860" w:type="dxa"/>
            <w:vMerge w:val="restart"/>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废气处理设施</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强化木地板车间粉尘废气收集处理设备</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由旋风分离器及脉冲式布袋收尘器组成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7"/>
              <w:rPr>
                <w:rFonts w:hint="eastAsia" w:asciiTheme="minorEastAsia" w:hAnsiTheme="minorEastAsia" w:eastAsiaTheme="minorEastAsia" w:cstheme="minorEastAsia"/>
                <w:color w:val="auto"/>
                <w:szCs w:val="24"/>
              </w:rPr>
            </w:pPr>
          </w:p>
        </w:tc>
        <w:tc>
          <w:tcPr>
            <w:tcW w:w="1860" w:type="dxa"/>
            <w:vMerge w:val="continue"/>
            <w:vAlign w:val="center"/>
          </w:tcPr>
          <w:p>
            <w:pPr>
              <w:pStyle w:val="37"/>
              <w:rPr>
                <w:rFonts w:hint="eastAsia" w:asciiTheme="minorEastAsia" w:hAnsiTheme="minorEastAsia" w:eastAsiaTheme="minorEastAsia" w:cstheme="minorEastAsia"/>
                <w:color w:val="auto"/>
                <w:szCs w:val="24"/>
              </w:rPr>
            </w:pPr>
          </w:p>
        </w:tc>
        <w:tc>
          <w:tcPr>
            <w:tcW w:w="2620" w:type="dxa"/>
            <w:vAlign w:val="center"/>
          </w:tcPr>
          <w:p>
            <w:pPr>
              <w:pStyle w:val="37"/>
              <w:rPr>
                <w:rFonts w:hint="eastAsia" w:asciiTheme="minorEastAsia" w:hAnsiTheme="minorEastAsia" w:eastAsiaTheme="minorEastAsia" w:cstheme="minorEastAsia"/>
                <w:color w:val="auto"/>
                <w:szCs w:val="24"/>
                <w:lang w:val="en-US" w:eastAsia="zh-CN"/>
              </w:rPr>
            </w:pPr>
            <w:r>
              <w:rPr>
                <w:rFonts w:hint="eastAsia" w:asciiTheme="minorEastAsia" w:hAnsiTheme="minorEastAsia" w:eastAsiaTheme="minorEastAsia" w:cstheme="minorEastAsia"/>
                <w:color w:val="auto"/>
                <w:szCs w:val="24"/>
                <w:lang w:val="en-US" w:eastAsia="zh-CN"/>
              </w:rPr>
              <w:t>甲醛废气</w:t>
            </w:r>
          </w:p>
        </w:tc>
        <w:tc>
          <w:tcPr>
            <w:tcW w:w="2848" w:type="dxa"/>
            <w:vAlign w:val="center"/>
          </w:tcPr>
          <w:p>
            <w:pPr>
              <w:pStyle w:val="37"/>
              <w:rPr>
                <w:rFonts w:hint="eastAsia" w:asciiTheme="minorEastAsia" w:hAnsiTheme="minorEastAsia" w:eastAsiaTheme="minorEastAsia" w:cstheme="minorEastAsia"/>
                <w:color w:val="auto"/>
                <w:szCs w:val="24"/>
                <w:lang w:val="en-US" w:eastAsia="zh-CN"/>
              </w:rPr>
            </w:pPr>
            <w:r>
              <w:rPr>
                <w:rFonts w:hint="eastAsia" w:asciiTheme="minorEastAsia" w:hAnsiTheme="minorEastAsia" w:eastAsiaTheme="minorEastAsia" w:cstheme="minorEastAsia"/>
                <w:color w:val="auto"/>
                <w:szCs w:val="24"/>
                <w:lang w:val="en-US" w:eastAsia="zh-CN"/>
              </w:rPr>
              <w:t>车间收尘除尘系统引风机引出后高空排放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7"/>
              <w:rPr>
                <w:rFonts w:hint="eastAsia" w:asciiTheme="minorEastAsia" w:hAnsiTheme="minorEastAsia" w:eastAsiaTheme="minorEastAsia" w:cstheme="minorEastAsia"/>
                <w:color w:val="auto"/>
                <w:szCs w:val="24"/>
              </w:rPr>
            </w:pPr>
          </w:p>
        </w:tc>
        <w:tc>
          <w:tcPr>
            <w:tcW w:w="1860" w:type="dxa"/>
            <w:vMerge w:val="continue"/>
            <w:vAlign w:val="center"/>
          </w:tcPr>
          <w:p>
            <w:pPr>
              <w:pStyle w:val="37"/>
              <w:rPr>
                <w:rFonts w:hint="eastAsia" w:asciiTheme="minorEastAsia" w:hAnsiTheme="minorEastAsia" w:eastAsiaTheme="minorEastAsia" w:cstheme="minorEastAsia"/>
                <w:color w:val="auto"/>
                <w:szCs w:val="24"/>
              </w:rPr>
            </w:pPr>
          </w:p>
        </w:tc>
        <w:tc>
          <w:tcPr>
            <w:tcW w:w="2620" w:type="dxa"/>
            <w:vAlign w:val="center"/>
          </w:tcPr>
          <w:p>
            <w:pPr>
              <w:pStyle w:val="37"/>
              <w:rPr>
                <w:rFonts w:hint="eastAsia" w:asciiTheme="minorEastAsia" w:hAnsiTheme="minorEastAsia" w:eastAsiaTheme="minorEastAsia" w:cstheme="minorEastAsia"/>
                <w:color w:val="auto"/>
                <w:szCs w:val="24"/>
                <w:lang w:val="en-US" w:eastAsia="zh-CN"/>
              </w:rPr>
            </w:pPr>
            <w:r>
              <w:rPr>
                <w:rFonts w:hint="eastAsia" w:asciiTheme="minorEastAsia" w:hAnsiTheme="minorEastAsia" w:eastAsiaTheme="minorEastAsia" w:cstheme="minorEastAsia"/>
                <w:color w:val="auto"/>
                <w:szCs w:val="24"/>
                <w:lang w:val="en-US" w:eastAsia="zh-CN"/>
              </w:rPr>
              <w:t>封蜡废气</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lang w:val="en-US" w:eastAsia="zh-CN"/>
              </w:rPr>
              <w:t>车间收尘除尘系统引风机引出后经过滤网高空排放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7"/>
              <w:rPr>
                <w:rFonts w:hint="eastAsia" w:asciiTheme="minorEastAsia" w:hAnsiTheme="minorEastAsia" w:eastAsiaTheme="minorEastAsia" w:cstheme="minorEastAsia"/>
                <w:color w:val="auto"/>
                <w:szCs w:val="24"/>
              </w:rPr>
            </w:pPr>
          </w:p>
        </w:tc>
        <w:tc>
          <w:tcPr>
            <w:tcW w:w="1860" w:type="dxa"/>
            <w:vMerge w:val="continue"/>
            <w:vAlign w:val="center"/>
          </w:tcPr>
          <w:p>
            <w:pPr>
              <w:pStyle w:val="37"/>
              <w:rPr>
                <w:rFonts w:hint="eastAsia" w:asciiTheme="minorEastAsia" w:hAnsiTheme="minorEastAsia" w:eastAsiaTheme="minorEastAsia" w:cstheme="minorEastAsia"/>
                <w:color w:val="auto"/>
                <w:szCs w:val="24"/>
              </w:rPr>
            </w:pP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热油炉燃烧废气（烟尘）处理设备</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多管旋风除尘器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4"/>
              <w:rPr>
                <w:rFonts w:hint="eastAsia" w:asciiTheme="minorEastAsia" w:hAnsiTheme="minorEastAsia" w:eastAsiaTheme="minorEastAsia" w:cstheme="minorEastAsia"/>
                <w:szCs w:val="24"/>
              </w:rPr>
            </w:pPr>
          </w:p>
        </w:tc>
        <w:tc>
          <w:tcPr>
            <w:tcW w:w="1860" w:type="dxa"/>
            <w:vMerge w:val="restart"/>
            <w:vAlign w:val="center"/>
          </w:tcPr>
          <w:p>
            <w:pPr>
              <w:pStyle w:val="45"/>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污水处理系统</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地埋式无动力化粪池</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生活污水预处理系统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4"/>
              <w:rPr>
                <w:rFonts w:hint="eastAsia" w:asciiTheme="minorEastAsia" w:hAnsiTheme="minorEastAsia" w:eastAsiaTheme="minorEastAsia" w:cstheme="minorEastAsia"/>
                <w:szCs w:val="24"/>
              </w:rPr>
            </w:pPr>
          </w:p>
        </w:tc>
        <w:tc>
          <w:tcPr>
            <w:tcW w:w="1860" w:type="dxa"/>
            <w:vMerge w:val="continue"/>
            <w:vAlign w:val="center"/>
          </w:tcPr>
          <w:p>
            <w:pPr>
              <w:pStyle w:val="45"/>
              <w:spacing w:line="240" w:lineRule="auto"/>
              <w:rPr>
                <w:rFonts w:hint="eastAsia" w:asciiTheme="minorEastAsia" w:hAnsiTheme="minorEastAsia" w:eastAsiaTheme="minorEastAsia" w:cstheme="minorEastAsia"/>
                <w:sz w:val="24"/>
                <w:szCs w:val="24"/>
              </w:rPr>
            </w:pP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污水处理站</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工业废水预处理系统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64" w:type="dxa"/>
            <w:vMerge w:val="continue"/>
            <w:vAlign w:val="center"/>
          </w:tcPr>
          <w:p>
            <w:pPr>
              <w:pStyle w:val="34"/>
              <w:rPr>
                <w:rFonts w:hint="eastAsia" w:asciiTheme="minorEastAsia" w:hAnsiTheme="minorEastAsia" w:eastAsiaTheme="minorEastAsia" w:cstheme="minorEastAsia"/>
                <w:szCs w:val="24"/>
              </w:rPr>
            </w:pP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降噪设施</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隔声、减震设施</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厂界达标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764" w:type="dxa"/>
            <w:vMerge w:val="continue"/>
            <w:vAlign w:val="center"/>
          </w:tcPr>
          <w:p>
            <w:pPr>
              <w:pStyle w:val="34"/>
              <w:rPr>
                <w:rFonts w:hint="eastAsia" w:asciiTheme="minorEastAsia" w:hAnsiTheme="minorEastAsia" w:eastAsiaTheme="minorEastAsia" w:cstheme="minorEastAsia"/>
                <w:szCs w:val="24"/>
              </w:rPr>
            </w:pPr>
          </w:p>
        </w:tc>
        <w:tc>
          <w:tcPr>
            <w:tcW w:w="186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固废暂存设施</w:t>
            </w:r>
          </w:p>
        </w:tc>
        <w:tc>
          <w:tcPr>
            <w:tcW w:w="2620"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符合规范要求</w:t>
            </w:r>
          </w:p>
        </w:tc>
        <w:tc>
          <w:tcPr>
            <w:tcW w:w="2848" w:type="dxa"/>
            <w:vAlign w:val="center"/>
          </w:tcPr>
          <w:p>
            <w:pPr>
              <w:pStyle w:val="37"/>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固废暂存</w:t>
            </w:r>
          </w:p>
        </w:tc>
      </w:tr>
    </w:tbl>
    <w:p>
      <w:pPr>
        <w:pStyle w:val="32"/>
        <w:spacing w:before="156" w:after="156"/>
        <w:rPr>
          <w:rFonts w:hint="eastAsia" w:asciiTheme="minorEastAsia" w:hAnsiTheme="minorEastAsia" w:eastAsiaTheme="minorEastAsia" w:cstheme="minorEastAsia"/>
        </w:rPr>
      </w:pP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 xml:space="preserve">项目地理位置、厂界周围环境概况及厂区平面布置 </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项目地理位置见</w:t>
      </w:r>
      <w:r>
        <w:rPr>
          <w:rFonts w:hint="eastAsia" w:asciiTheme="minorEastAsia" w:hAnsiTheme="minorEastAsia" w:eastAsiaTheme="minorEastAsia" w:cstheme="minorEastAsia"/>
          <w:color w:val="auto"/>
          <w:sz w:val="28"/>
          <w:szCs w:val="28"/>
        </w:rPr>
        <w:t>附图1</w:t>
      </w:r>
      <w:r>
        <w:rPr>
          <w:rFonts w:hint="eastAsia" w:asciiTheme="minorEastAsia" w:hAnsiTheme="minorEastAsia" w:eastAsiaTheme="minorEastAsia" w:cstheme="minorEastAsia"/>
          <w:sz w:val="28"/>
          <w:szCs w:val="28"/>
        </w:rPr>
        <w:t>。厂界周围环境概况见</w:t>
      </w:r>
      <w:r>
        <w:rPr>
          <w:rFonts w:hint="eastAsia" w:asciiTheme="minorEastAsia" w:hAnsiTheme="minorEastAsia" w:eastAsiaTheme="minorEastAsia" w:cstheme="minorEastAsia"/>
          <w:color w:val="auto"/>
          <w:sz w:val="28"/>
          <w:szCs w:val="28"/>
        </w:rPr>
        <w:t>附图2</w:t>
      </w:r>
      <w:r>
        <w:rPr>
          <w:rFonts w:hint="eastAsia" w:asciiTheme="minorEastAsia" w:hAnsiTheme="minorEastAsia" w:eastAsiaTheme="minorEastAsia" w:cstheme="minorEastAsia"/>
          <w:sz w:val="28"/>
          <w:szCs w:val="28"/>
        </w:rPr>
        <w:t>。厂区平面布置见</w:t>
      </w:r>
      <w:r>
        <w:rPr>
          <w:rFonts w:hint="eastAsia" w:asciiTheme="minorEastAsia" w:hAnsiTheme="minorEastAsia" w:eastAsiaTheme="minorEastAsia" w:cstheme="minorEastAsia"/>
          <w:color w:val="auto"/>
          <w:sz w:val="28"/>
          <w:szCs w:val="28"/>
        </w:rPr>
        <w:t>附图3。</w:t>
      </w:r>
    </w:p>
    <w:p>
      <w:pPr>
        <w:pStyle w:val="32"/>
        <w:spacing w:before="156" w:after="156"/>
        <w:rPr>
          <w:rFonts w:hint="eastAsia" w:asciiTheme="minorEastAsia" w:hAnsiTheme="minorEastAsia" w:eastAsiaTheme="minorEastAsia" w:cstheme="minorEastAsia"/>
        </w:rPr>
      </w:pP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主要原辅材料及能源消耗</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本项目主要原辅材料及能源消耗见表2.1-3。</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表2.1-3  本项目原辅材料及能源消耗表</w:t>
      </w:r>
    </w:p>
    <w:tbl>
      <w:tblPr>
        <w:tblStyle w:val="20"/>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2907"/>
        <w:gridCol w:w="1370"/>
        <w:gridCol w:w="1267"/>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1619" w:type="dxa"/>
            <w:tcBorders>
              <w:top w:val="single" w:color="000000" w:sz="8" w:space="0"/>
              <w:left w:val="single" w:color="000000" w:sz="8" w:space="0"/>
              <w:right w:val="single" w:color="000000" w:sz="8" w:space="0"/>
            </w:tcBorders>
            <w:shd w:val="clear" w:color="auto" w:fill="FFFFFF"/>
            <w:vAlign w:val="center"/>
          </w:tcPr>
          <w:p>
            <w:pPr>
              <w:pStyle w:val="43"/>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类别</w:t>
            </w:r>
          </w:p>
        </w:tc>
        <w:tc>
          <w:tcPr>
            <w:tcW w:w="2907" w:type="dxa"/>
            <w:tcBorders>
              <w:top w:val="single" w:color="000000" w:sz="8" w:space="0"/>
              <w:left w:val="single" w:color="000000" w:sz="8" w:space="0"/>
              <w:right w:val="single" w:color="000000" w:sz="8" w:space="0"/>
            </w:tcBorders>
            <w:shd w:val="clear" w:color="auto" w:fill="FFFFFF"/>
            <w:vAlign w:val="center"/>
          </w:tcPr>
          <w:p>
            <w:pPr>
              <w:pStyle w:val="43"/>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名称</w:t>
            </w:r>
          </w:p>
        </w:tc>
        <w:tc>
          <w:tcPr>
            <w:tcW w:w="1370" w:type="dxa"/>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规格指标</w:t>
            </w:r>
          </w:p>
        </w:tc>
        <w:tc>
          <w:tcPr>
            <w:tcW w:w="1267" w:type="dxa"/>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w:t>
            </w:r>
          </w:p>
        </w:tc>
        <w:tc>
          <w:tcPr>
            <w:tcW w:w="1128" w:type="dxa"/>
            <w:tcBorders>
              <w:top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restart"/>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原辅料</w:t>
            </w: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高密度纤维板</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w:t>
            </w:r>
            <w:r>
              <w:rPr>
                <w:rFonts w:hint="eastAsia" w:asciiTheme="minorEastAsia" w:hAnsiTheme="minorEastAsia" w:eastAsiaTheme="minorEastAsia" w:cstheme="minorEastAsia"/>
                <w:sz w:val="24"/>
                <w:vertAlign w:val="superscript"/>
              </w:rPr>
              <w:t>3</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原纸</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耐磨纸</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装饰纸</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平衡纸</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三聚氰胺</w:t>
            </w:r>
            <w:r>
              <w:rPr>
                <w:rFonts w:hint="eastAsia" w:asciiTheme="minorEastAsia" w:hAnsiTheme="minorEastAsia" w:eastAsiaTheme="minorEastAsia" w:cstheme="minorEastAsia"/>
                <w:sz w:val="24"/>
                <w:lang w:val="en-US" w:eastAsia="zh-CN"/>
              </w:rPr>
              <w:t>甲醛树脂胶</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（高粘度）</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三聚氰胺</w:t>
            </w:r>
            <w:r>
              <w:rPr>
                <w:rFonts w:hint="eastAsia" w:asciiTheme="minorEastAsia" w:hAnsiTheme="minorEastAsia" w:eastAsiaTheme="minorEastAsia" w:cstheme="minorEastAsia"/>
                <w:sz w:val="24"/>
                <w:lang w:val="en-US" w:eastAsia="zh-CN"/>
              </w:rPr>
              <w:t>甲醛树脂胶</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（低粘度）</w:t>
            </w:r>
          </w:p>
        </w:tc>
        <w:tc>
          <w:tcPr>
            <w:tcW w:w="1370" w:type="dxa"/>
            <w:tcBorders>
              <w:top w:val="single" w:color="000000" w:sz="8" w:space="0"/>
              <w:left w:val="single" w:color="000000" w:sz="8" w:space="0"/>
              <w:bottom w:val="single" w:color="000000" w:sz="8" w:space="0"/>
              <w:right w:val="single" w:color="000000" w:sz="8" w:space="0"/>
            </w:tcBorders>
            <w:shd w:val="clear" w:color="auto" w:fill="FFFFFF"/>
            <w:textDirection w:val="lrTb"/>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textDirection w:val="lrTb"/>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4700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尿醛树脂胶</w:t>
            </w:r>
          </w:p>
        </w:tc>
        <w:tc>
          <w:tcPr>
            <w:tcW w:w="1370" w:type="dxa"/>
            <w:tcBorders>
              <w:top w:val="single" w:color="000000" w:sz="8" w:space="0"/>
              <w:left w:val="single" w:color="000000" w:sz="8" w:space="0"/>
              <w:bottom w:val="single" w:color="000000" w:sz="8" w:space="0"/>
              <w:right w:val="single" w:color="000000" w:sz="8" w:space="0"/>
            </w:tcBorders>
            <w:shd w:val="clear" w:color="auto" w:fill="FFFFFF"/>
            <w:textDirection w:val="lrTb"/>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textDirection w:val="lrTb"/>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19" w:type="dxa"/>
            <w:vMerge w:val="continue"/>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p>
        </w:tc>
        <w:tc>
          <w:tcPr>
            <w:tcW w:w="29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石蜡</w:t>
            </w:r>
          </w:p>
        </w:tc>
        <w:tc>
          <w:tcPr>
            <w:tcW w:w="1370" w:type="dxa"/>
            <w:tcBorders>
              <w:top w:val="single" w:color="000000" w:sz="8" w:space="0"/>
              <w:left w:val="single" w:color="000000" w:sz="8" w:space="0"/>
              <w:bottom w:val="single" w:color="000000" w:sz="8" w:space="0"/>
              <w:right w:val="single" w:color="000000" w:sz="8" w:space="0"/>
            </w:tcBorders>
            <w:shd w:val="clear" w:color="auto" w:fill="FFFFFF"/>
            <w:textDirection w:val="lrTb"/>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textDirection w:val="lrTb"/>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w:t>
            </w:r>
          </w:p>
        </w:tc>
        <w:tc>
          <w:tcPr>
            <w:tcW w:w="1128" w:type="dxa"/>
            <w:tcBorders>
              <w:top w:val="single" w:color="000000" w:sz="8" w:space="0"/>
              <w:bottom w:val="single" w:color="000000" w:sz="8" w:space="0"/>
            </w:tcBorders>
            <w:shd w:val="clear" w:color="auto" w:fill="FFFFFF"/>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526" w:type="dxa"/>
            <w:gridSpan w:val="2"/>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电</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kwh/a</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805万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526" w:type="dxa"/>
            <w:gridSpan w:val="2"/>
            <w:tcBorders>
              <w:left w:val="single" w:color="000000" w:sz="8" w:space="0"/>
              <w:right w:val="single" w:color="000000" w:sz="8" w:space="0"/>
            </w:tcBorders>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自来水</w:t>
            </w:r>
          </w:p>
        </w:tc>
        <w:tc>
          <w:tcPr>
            <w:tcW w:w="1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2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t/a</w:t>
            </w:r>
          </w:p>
        </w:tc>
        <w:tc>
          <w:tcPr>
            <w:tcW w:w="1128" w:type="dxa"/>
            <w:tcBorders>
              <w:top w:val="single" w:color="000000" w:sz="8" w:space="0"/>
              <w:bottom w:val="single" w:color="000000" w:sz="8" w:space="0"/>
            </w:tcBorders>
            <w:shd w:val="clear" w:color="auto" w:fill="FFFFFF"/>
            <w:vAlign w:val="center"/>
          </w:tcPr>
          <w:p>
            <w:pPr>
              <w:adjustRightInd w:val="0"/>
              <w:snapToGrid w:val="0"/>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highlight w:val="none"/>
                <w:lang w:val="en-US" w:eastAsia="zh-CN"/>
              </w:rPr>
              <w:t>8523</w:t>
            </w:r>
          </w:p>
        </w:tc>
      </w:tr>
    </w:tbl>
    <w:p>
      <w:pPr>
        <w:pStyle w:val="32"/>
        <w:spacing w:before="156" w:after="156"/>
        <w:rPr>
          <w:rFonts w:hint="eastAsia" w:asciiTheme="minorEastAsia" w:hAnsiTheme="minorEastAsia" w:eastAsiaTheme="minorEastAsia" w:cstheme="minorEastAsia"/>
        </w:rPr>
      </w:pP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主要生产设备</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本项目主要生产设备见表2.1-4。</w:t>
      </w:r>
    </w:p>
    <w:p>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表2.1-4  本项目主要生产设备表</w:t>
      </w:r>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264"/>
        <w:gridCol w:w="3019"/>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888" w:type="dxa"/>
            <w:vAlign w:val="center"/>
          </w:tcPr>
          <w:p>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序号</w:t>
            </w:r>
          </w:p>
        </w:tc>
        <w:tc>
          <w:tcPr>
            <w:tcW w:w="2264" w:type="dxa"/>
            <w:vAlign w:val="center"/>
          </w:tcPr>
          <w:p>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设备名称</w:t>
            </w:r>
          </w:p>
        </w:tc>
        <w:tc>
          <w:tcPr>
            <w:tcW w:w="3019" w:type="dxa"/>
            <w:vAlign w:val="center"/>
          </w:tcPr>
          <w:p>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规格型号</w:t>
            </w:r>
          </w:p>
        </w:tc>
        <w:tc>
          <w:tcPr>
            <w:tcW w:w="2125" w:type="dxa"/>
            <w:vAlign w:val="center"/>
          </w:tcPr>
          <w:p>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浸渍线</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定制，速度：15-60米/分</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浸胶线</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VITS—IMACO</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压板线</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KT-SQ-SS  225/4</w:t>
            </w:r>
          </w:p>
        </w:tc>
        <w:tc>
          <w:tcPr>
            <w:tcW w:w="2125" w:type="dxa"/>
          </w:tcPr>
          <w:p>
            <w:pPr>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分切线</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定制，速度：7.5万平/天</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1#铣槽线</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定制，150米/分</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6</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2#铣槽线</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定制，120米/分</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7</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热油炉</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WGL-6000A</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8</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空压机</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LS20S---200H；AC。SULL</w:t>
            </w:r>
          </w:p>
        </w:tc>
        <w:tc>
          <w:tcPr>
            <w:tcW w:w="2125" w:type="dxa"/>
          </w:tcPr>
          <w:p>
            <w:pPr>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9</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除尘器</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p>
        </w:tc>
        <w:tc>
          <w:tcPr>
            <w:tcW w:w="2125" w:type="dxa"/>
          </w:tcPr>
          <w:p>
            <w:pPr>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10</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叉车</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r>
              <w:rPr>
                <w:rFonts w:hint="eastAsia" w:asciiTheme="minorEastAsia" w:hAnsiTheme="minorEastAsia" w:eastAsiaTheme="minorEastAsia" w:cstheme="minorEastAsia"/>
                <w:bCs/>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11</w:t>
            </w:r>
          </w:p>
        </w:tc>
        <w:tc>
          <w:tcPr>
            <w:tcW w:w="2264"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电力设备</w:t>
            </w:r>
          </w:p>
        </w:tc>
        <w:tc>
          <w:tcPr>
            <w:tcW w:w="3019"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p>
        </w:tc>
        <w:tc>
          <w:tcPr>
            <w:tcW w:w="2125" w:type="dxa"/>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12</w:t>
            </w:r>
          </w:p>
        </w:tc>
        <w:tc>
          <w:tcPr>
            <w:tcW w:w="2264" w:type="dxa"/>
            <w:textDirection w:val="lrTb"/>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胶水配料储罐</w:t>
            </w:r>
          </w:p>
        </w:tc>
        <w:tc>
          <w:tcPr>
            <w:tcW w:w="3019" w:type="dxa"/>
            <w:textDirection w:val="lrTb"/>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p>
        </w:tc>
        <w:tc>
          <w:tcPr>
            <w:tcW w:w="2125" w:type="dxa"/>
            <w:textDirection w:val="lrTb"/>
            <w:vAlign w:val="top"/>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888" w:type="dxa"/>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13</w:t>
            </w:r>
          </w:p>
        </w:tc>
        <w:tc>
          <w:tcPr>
            <w:tcW w:w="2264" w:type="dxa"/>
            <w:textDirection w:val="lrTb"/>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污水处理设施</w:t>
            </w:r>
          </w:p>
        </w:tc>
        <w:tc>
          <w:tcPr>
            <w:tcW w:w="3019" w:type="dxa"/>
            <w:textDirection w:val="lrTb"/>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w:t>
            </w:r>
          </w:p>
        </w:tc>
        <w:tc>
          <w:tcPr>
            <w:tcW w:w="2125" w:type="dxa"/>
            <w:textDirection w:val="lrTb"/>
            <w:vAlign w:val="top"/>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w:t>
            </w:r>
          </w:p>
        </w:tc>
      </w:tr>
    </w:tbl>
    <w:p>
      <w:pPr>
        <w:pStyle w:val="30"/>
        <w:spacing w:before="156" w:after="156"/>
        <w:rPr>
          <w:rFonts w:hint="eastAsia" w:asciiTheme="minorEastAsia" w:hAnsiTheme="minorEastAsia" w:eastAsiaTheme="minorEastAsia" w:cstheme="minorEastAsia"/>
        </w:rPr>
      </w:pPr>
      <w:bookmarkStart w:id="34" w:name="_Toc27957"/>
      <w:r>
        <w:rPr>
          <w:rFonts w:hint="eastAsia" w:asciiTheme="minorEastAsia" w:hAnsiTheme="minorEastAsia" w:eastAsiaTheme="minorEastAsia" w:cstheme="minorEastAsia"/>
        </w:rPr>
        <w:t>2.2工艺流程及产污环节分析</w:t>
      </w:r>
      <w:bookmarkEnd w:id="34"/>
    </w:p>
    <w:p>
      <w:pPr>
        <w:pStyle w:val="32"/>
        <w:spacing w:before="156" w:after="156"/>
        <w:rPr>
          <w:rFonts w:hint="eastAsia" w:asciiTheme="minorEastAsia" w:hAnsiTheme="minorEastAsia" w:eastAsiaTheme="minorEastAsia" w:cstheme="minorEastAsia"/>
        </w:rPr>
      </w:pPr>
      <w:r>
        <w:rPr>
          <w:rFonts w:hint="eastAsia" w:asciiTheme="minorEastAsia" w:hAnsiTheme="minorEastAsia" w:eastAsiaTheme="minorEastAsia" w:cstheme="minorEastAsia"/>
        </w:rPr>
        <w:t>2.2.1生产工艺流程</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本项目包括浸渍加工生产线、贴面加工生产线和地板加工生产线三条生产线及热油炉供热系统。</w:t>
      </w:r>
    </w:p>
    <w:p>
      <w:pPr>
        <w:pStyle w:val="32"/>
        <w:spacing w:before="156" w:after="156"/>
        <w:outlineLvl w:val="3"/>
        <w:rPr>
          <w:rFonts w:hint="eastAsia" w:asciiTheme="minorEastAsia" w:hAnsiTheme="minorEastAsia" w:eastAsiaTheme="minorEastAsia" w:cstheme="minorEastAsia"/>
          <w:b w:val="0"/>
        </w:rPr>
      </w:pPr>
      <w:r>
        <w:rPr>
          <w:rFonts w:hint="eastAsia" w:asciiTheme="minorEastAsia" w:hAnsiTheme="minorEastAsia" w:eastAsiaTheme="minorEastAsia" w:cstheme="minorEastAsia"/>
        </w:rPr>
        <w:t>2.2.1.1</w:t>
      </w:r>
      <w:r>
        <w:rPr>
          <w:rFonts w:hint="eastAsia" w:asciiTheme="minorEastAsia" w:hAnsiTheme="minorEastAsia" w:eastAsiaTheme="minorEastAsia" w:cstheme="minorEastAsia"/>
          <w:b w:val="0"/>
        </w:rPr>
        <w:t>浸渍加工生产线</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浸渍加工生产线以耐磨纸、平衡纸及装饰纸为原纸，通过开卷、接纸、背面涂胶、呼吸排气、浸渍、计量、干燥、冷却、调偏、牵引、剪切、堆垛等工序，最后得到产品留库待用。其工艺见图2.2-1。</w:t>
      </w:r>
    </w:p>
    <w:p>
      <w:pPr>
        <w:spacing w:line="360" w:lineRule="auto"/>
        <w:rPr>
          <w:rFonts w:hint="eastAsia" w:asciiTheme="minorEastAsia" w:hAnsiTheme="minorEastAsia" w:eastAsiaTheme="minorEastAsia" w:cstheme="minorEastAsia"/>
          <w:sz w:val="28"/>
          <w:szCs w:val="28"/>
        </w:rPr>
      </w:pPr>
      <w:r>
        <w:pict>
          <v:group id="组合 70" o:spid="_x0000_s2522" o:spt="203" style="height:223.05pt;width:397.75pt;" coordorigin="2635437,1038716" coordsize="5051440,3259313" o:gfxdata="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DJXoF12AAAAAUBAAAPAAAAAAAAAAEA&#10;IAAAACIAAABkcnMvZG93bnJldi54bWxQSwECFAAUAAAACACHTuJA4Z0t+y8JAAAXYwAADgAAAAAA&#10;AAABACAAAAAnAQAAZHJzL2Uyb0RvYy54bWxQSwUGAAAAAAYABgBZAQAAyAwAAAAA&#10;">
            <o:lock v:ext="edit" aspectratio="f"/>
            <v:group id="组合 60" o:spid="_x0000_s2516" o:spt="203" style="position:absolute;left:2635437;top:1572058;height:1905431;width:5051440;" coordorigin="1636631,1586126" coordsize="5051440,1905431"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文本框 3" o:spid="_x0000_s2481" o:spt="202" type="#_x0000_t202" style="position:absolute;left:2511452;top:1762923;height:292735;width:504825;"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开卷</w:t>
                      </w:r>
                    </w:p>
                  </w:txbxContent>
                </v:textbox>
              </v:shape>
              <v:shape id="文本框 3" o:spid="_x0000_s2482" o:spt="202" type="#_x0000_t202" style="position:absolute;left:1636631;top:1586126;height:1858474;width:657227;" filled="f" stroked="f" coordsize="21600,21600"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耐磨纸、</w:t>
                      </w:r>
                    </w:p>
                    <w:p>
                      <w:pPr>
                        <w:pStyle w:val="15"/>
                        <w:kinsoku/>
                        <w:ind w:left="0"/>
                        <w:jc w:val="left"/>
                      </w:pPr>
                      <w:r>
                        <w:rPr>
                          <w:rFonts w:ascii="Calibri" w:hAnsi="Times New Roman" w:eastAsia="仿宋"/>
                          <w:color w:val="000000" w:themeColor="text1"/>
                          <w:kern w:val="2"/>
                          <w:sz w:val="24"/>
                          <w:szCs w:val="24"/>
                        </w:rPr>
                        <w:t>平衡纸、</w:t>
                      </w:r>
                    </w:p>
                    <w:p>
                      <w:pPr>
                        <w:pStyle w:val="15"/>
                        <w:kinsoku/>
                        <w:ind w:left="0"/>
                        <w:jc w:val="left"/>
                      </w:pPr>
                      <w:r>
                        <w:rPr>
                          <w:rFonts w:ascii="Calibri" w:hAnsi="Times New Roman" w:eastAsia="仿宋"/>
                          <w:color w:val="000000" w:themeColor="text1"/>
                          <w:kern w:val="2"/>
                          <w:sz w:val="24"/>
                          <w:szCs w:val="24"/>
                        </w:rPr>
                        <w:t>装饰纸</w:t>
                      </w:r>
                    </w:p>
                  </w:txbxContent>
                </v:textbox>
              </v:shape>
              <v:shape id="文本框 5" o:spid="_x0000_s2483" o:spt="202" type="#_x0000_t202" style="position:absolute;left:3274713;top:1762923;height:299167;width:523875;"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 xml:space="preserve">接纸 </w:t>
                      </w:r>
                    </w:p>
                  </w:txbxContent>
                </v:textbox>
              </v:shape>
              <v:shape id="文本框 8" o:spid="_x0000_s2484" o:spt="202" type="#_x0000_t202" style="position:absolute;left:4003785;top:1769355;height:292735;width:809625;"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背面涂胶</w:t>
                      </w:r>
                    </w:p>
                  </w:txbxContent>
                </v:textbox>
              </v:shape>
              <v:shape id="文本框 12" o:spid="_x0000_s2485" o:spt="202" type="#_x0000_t202" style="position:absolute;left:5037756;top:1762923;height:292735;width:809625;"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呼吸排气</w:t>
                      </w:r>
                    </w:p>
                  </w:txbxContent>
                </v:textbox>
              </v:shape>
              <v:shape id="文本框 16" o:spid="_x0000_s2486" o:spt="202" type="#_x0000_t202" style="position:absolute;left:6052578;top:1774319;height:292735;width:635493;"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浸渍1</w:t>
                      </w:r>
                    </w:p>
                  </w:txbxContent>
                </v:textbox>
              </v:shape>
              <v:shape id="直接箭头连接符 16" o:spid="_x0000_s2487" o:spt="32" type="#_x0000_t32" style="position:absolute;left:2303346;top:1907084;flip:y;height:2206;width:205197;" filled="f" stroked="t" coordsize="21600,21600" o:gfxdata="UEsDBAoAAAAAAIdO4kAAAAAAAAAAAAAAAAAEAAAAZHJzL1BLAwQUAAAACACHTuJABBQkILwAAADb&#10;AAAADwAAAGRycy9kb3ducmV2LnhtbEVPTWvCQBC9C/0PyxS8iNkotA3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UJCC8AAAA&#10;2w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shape>
              <v:shape id="直接箭头连接符 17" o:spid="_x0000_s2488" o:spt="32" type="#_x0000_t32" style="position:absolute;left:3059414;top:1907084;flip:y;height:2206;width:205197;" filled="f" stroked="t" coordsize="21600,21600"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直接箭头连接符 18" o:spid="_x0000_s2489" o:spt="32" type="#_x0000_t32" style="position:absolute;left:3798588;top:1891447;flip:y;height:2206;width:205197;" filled="f" stroked="t" coordsize="21600,21600"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shape>
              <v:shape id="直接箭头连接符 19" o:spid="_x0000_s2490" o:spt="32" type="#_x0000_t32" style="position:absolute;left:4813946;top:1907084;flip:y;height:2206;width:205197;" filled="f" stroked="t" coordsize="21600,21600"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直接箭头连接符 20" o:spid="_x0000_s2491" o:spt="32" type="#_x0000_t32" style="position:absolute;left:5863457;top:1891447;flip:y;height:2206;width:205197;"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shape>
              <v:shape id="直接箭头连接符 27" o:spid="_x0000_s2492" o:spt="32" type="#_x0000_t32" style="position:absolute;left:6370324;top:2067054;flip:x;height:276901;width:1;" filled="f" stroked="t" coordsize="21600,21600" o:gfxdata="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677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16" o:spid="_x0000_s2493" o:spt="202" type="#_x0000_t202" style="position:absolute;left:6052577;top:2343955;height:292735;width:635493;"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计量1</w:t>
                      </w:r>
                    </w:p>
                  </w:txbxContent>
                </v:textbox>
              </v:shape>
              <v:shape id="直接箭头连接符 37" o:spid="_x0000_s2494" o:spt="32" type="#_x0000_t32" style="position:absolute;left:5840312;top:2474389;flip:y;height:2206;width:205197;" filled="f" stroked="t" coordsize="21600,21600" o:gfxdata="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5FI5ugAAANsA&#10;AAAPAAAAAAAAAAEAIAAAACIAAABkcnMvZG93bnJldi54bWxQSwECFAAUAAAACACHTuJAMy8FnjsA&#10;AAA5AAAAEAAAAAAAAAABACAAAAAJAQAAZHJzL3NoYXBleG1sLnhtbFBLBQYAAAAABgAGAFsBAACz&#10;AwAAAAA=&#10;">
                <v:path arrowok="t"/>
                <v:fill on="f" focussize="0,0"/>
                <v:stroke color="#000000" joinstyle="round" startarrow="block"/>
                <v:imagedata o:title=""/>
                <o:lock v:ext="edit" aspectratio="f"/>
              </v:shape>
              <v:shape id="文本框 16" o:spid="_x0000_s2495" o:spt="202" type="#_x0000_t202" style="position:absolute;left:5193788;top:2343955;height:292735;width:635493;"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干燥1</w:t>
                      </w:r>
                    </w:p>
                  </w:txbxContent>
                </v:textbox>
              </v:shape>
              <v:shape id="直接箭头连接符 39" o:spid="_x0000_s2496" o:spt="32" type="#_x0000_t32" style="position:absolute;left:4983075;top:2468452;flip:y;height:2206;width:205197;" filled="f" stroked="t" coordsize="21600,21600" o:gfxdata="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lC1CugAAANsA&#10;AAAPAAAAAAAAAAEAIAAAACIAAABkcnMvZG93bnJldi54bWxQSwECFAAUAAAACACHTuJAMy8FnjsA&#10;AAA5AAAAEAAAAAAAAAABACAAAAAJAQAAZHJzL3NoYXBleG1sLnhtbFBLBQYAAAAABgAGAFsBAACz&#10;AwAAAAA=&#10;">
                <v:path arrowok="t"/>
                <v:fill on="f" focussize="0,0"/>
                <v:stroke color="#000000" joinstyle="round" startarrow="block"/>
                <v:imagedata o:title=""/>
                <o:lock v:ext="edit" aspectratio="f"/>
              </v:shape>
              <v:shape id="文本框 16" o:spid="_x0000_s2497" o:spt="202" type="#_x0000_t202" style="position:absolute;left:4334999;top:2350561;height:292735;width:635493;"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冷却1</w:t>
                      </w:r>
                    </w:p>
                  </w:txbxContent>
                </v:textbox>
              </v:shape>
              <v:shape id="文本框 16" o:spid="_x0000_s2498" o:spt="202" type="#_x0000_t202" style="position:absolute;left:3482501;top:2350561;height:292735;width:635493;"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浸渍2</w:t>
                      </w:r>
                    </w:p>
                  </w:txbxContent>
                </v:textbox>
              </v:shape>
              <v:shape id="直接箭头连接符 42" o:spid="_x0000_s2499" o:spt="32" type="#_x0000_t32" style="position:absolute;left:4123510;top:2466246;flip:y;height:2206;width:205197;" filled="f" stroked="t" coordsize="21600,21600" o:gfxdata="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GszW/&#10;AAAA2wAAAA8AAAAAAAAAAQAgAAAAIgAAAGRycy9kb3ducmV2LnhtbFBLAQIUABQAAAAIAIdO4kAz&#10;LwWeOwAAADkAAAAQAAAAAAAAAAEAIAAAAA4BAABkcnMvc2hhcGV4bWwueG1sUEsFBgAAAAAGAAYA&#10;WwEAALgDAAAAAA==&#10;">
                <v:path arrowok="t"/>
                <v:fill on="f" focussize="0,0"/>
                <v:stroke color="#000000" joinstyle="round" startarrow="block"/>
                <v:imagedata o:title=""/>
                <o:lock v:ext="edit" aspectratio="f"/>
              </v:shape>
              <v:shape id="文本框 16" o:spid="_x0000_s2500" o:spt="202" type="#_x0000_t202" style="position:absolute;left:2658621;top:2342430;height:292735;width:635493;"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计量2</w:t>
                      </w:r>
                    </w:p>
                  </w:txbxContent>
                </v:textbox>
              </v:shape>
              <v:shape id="直接箭头连接符 44" o:spid="_x0000_s2501" o:spt="32" type="#_x0000_t32" style="position:absolute;left:3279585;top:2474389;flip:y;height:2206;width:205197;" filled="f" stroked="t" coordsize="21600,21600" o:gfxdata="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jjtq/&#10;AAAA2wAAAA8AAAAAAAAAAQAgAAAAIgAAAGRycy9kb3ducmV2LnhtbFBLAQIUABQAAAAIAIdO4kAz&#10;LwWeOwAAADkAAAAQAAAAAAAAAAEAIAAAAA4BAABkcnMvc2hhcGV4bWwueG1sUEsFBgAAAAAGAAYA&#10;WwEAALgDAAAAAA==&#10;">
                <v:path arrowok="t"/>
                <v:fill on="f" focussize="0,0"/>
                <v:stroke color="#000000" joinstyle="round" startarrow="block"/>
                <v:imagedata o:title=""/>
                <o:lock v:ext="edit" aspectratio="f"/>
              </v:shape>
              <v:shape id="直接箭头连接符 45" o:spid="_x0000_s2502" o:spt="32" type="#_x0000_t32" style="position:absolute;left:2430066;top:2464040;flip:y;height:2206;width:205197;" filled="f" stroked="t" coordsize="21600,21600" o:gfxdata="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RCtvQAA&#10;ANsAAAAPAAAAAAAAAAEAIAAAACIAAABkcnMvZG93bnJldi54bWxQSwECFAAUAAAACACHTuJAMy8F&#10;njsAAAA5AAAAEAAAAAAAAAABACAAAAAMAQAAZHJzL3NoYXBleG1sLnhtbFBLBQYAAAAABgAGAFsB&#10;AAC2AwAAAAA=&#10;">
                <v:path arrowok="t"/>
                <v:fill on="f" focussize="0,0"/>
                <v:stroke color="#000000" joinstyle="round" startarrow="block"/>
                <v:imagedata o:title=""/>
                <o:lock v:ext="edit" aspectratio="f"/>
              </v:shape>
              <v:shape id="文本框 16" o:spid="_x0000_s2503" o:spt="202" type="#_x0000_t202" style="position:absolute;left:1788458;top:2350561;height:292735;width:635493;"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干燥2</w:t>
                      </w:r>
                    </w:p>
                  </w:txbxContent>
                </v:textbox>
              </v:shape>
              <v:shape id="直接箭头连接符 47" o:spid="_x0000_s2504" o:spt="32" type="#_x0000_t32" style="position:absolute;left:2106203;top:2645488;flip:x;height:276901;width:1;" filled="f" stroked="t" coordsize="21600,21600" o:gfxdata="UEsDBAoAAAAAAIdO4kAAAAAAAAAAAAAAAAAEAAAAZHJzL1BLAwQUAAAACACHTuJAZjifT7sAAADb&#10;AAAADwAAAGRycy9kb3ducmV2LnhtbEVPy2rCQBTdF/oPwy24KWZis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ifT7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16" o:spid="_x0000_s2505" o:spt="202" type="#_x0000_t202" style="position:absolute;left:1770451;top:2938199;height:292735;width:635493;"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冷却2</w:t>
                      </w:r>
                    </w:p>
                  </w:txbxContent>
                </v:textbox>
              </v:shape>
              <v:shape id="直接箭头连接符 49" o:spid="_x0000_s2506" o:spt="32" type="#_x0000_t32" style="position:absolute;left:2434560;top:3063611;flip:y;height:2206;width:205197;" filled="f" stroked="t" coordsize="21600,21600" o:gfxdata="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cFlL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5" o:spid="_x0000_s2507" o:spt="202" type="#_x0000_t202" style="position:absolute;left:2628183;top:2944575;height:292735;width:523875;"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 xml:space="preserve">调偏 </w:t>
                      </w:r>
                    </w:p>
                  </w:txbxContent>
                </v:textbox>
              </v:shape>
              <v:shape id="直接箭头连接符 51" o:spid="_x0000_s2508" o:spt="32" type="#_x0000_t32" style="position:absolute;left:3151093;top:3078690;flip:y;height:2206;width:205197;" filled="f" stroked="t" coordsize="21600,21600" o:gfxdata="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k+eL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文本框 5" o:spid="_x0000_s2509" o:spt="202" type="#_x0000_t202" style="position:absolute;left:3371078;top:2944574;height:292735;width:523875;"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 xml:space="preserve">牵引 </w:t>
                      </w:r>
                    </w:p>
                  </w:txbxContent>
                </v:textbox>
              </v:shape>
              <v:shape id="直接箭头连接符 53" o:spid="_x0000_s2510" o:spt="32" type="#_x0000_t32" style="position:absolute;left:3894953;top:3090475;flip:y;height:2206;width:205197;" filled="f" stroked="t" coordsize="21600,21600" o:gfxdata="UEsDBAoAAAAAAIdO4kAAAAAAAAAAAAAAAAAEAAAAZHJzL1BLAwQUAAAACACHTuJAYqwDl70AAADb&#10;AAAADwAAAGRycy9kb3ducmV2LnhtbEWPT4vCMBTE78J+h/CEvYimi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AOXvQAA&#10;ANs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shape>
              <v:shape id="文本框 5" o:spid="_x0000_s2511" o:spt="202" type="#_x0000_t202" style="position:absolute;left:4100150;top:2953836;height:292735;width:523875;"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 xml:space="preserve">剪切 </w:t>
                      </w:r>
                    </w:p>
                  </w:txbxContent>
                </v:textbox>
              </v:shape>
              <v:shape id="直接箭头连接符 56" o:spid="_x0000_s2512" o:spt="32" type="#_x0000_t32" style="position:absolute;left:4630323;top:3100203;flip:y;height:2206;width:205197;" filled="f" stroked="t" coordsize="21600,21600" o:gfxdata="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p3gvQAA&#10;ANs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shape>
              <v:shape id="文本框 5" o:spid="_x0000_s2513" o:spt="202" type="#_x0000_t202" style="position:absolute;left:4841818;top:2953836;height:292735;width:523875;"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 xml:space="preserve">堆垛 </w:t>
                      </w:r>
                    </w:p>
                  </w:txbxContent>
                </v:textbox>
              </v:shape>
              <v:shape id="直接箭头连接符 58" o:spid="_x0000_s2514" o:spt="32" type="#_x0000_t32" style="position:absolute;left:5380821;top:3088269;flip:y;height:2206;width:205197;" filled="f" stroked="t" coordsize="21600,21600" o:gfxdata="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trAm/&#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v:shape id="文本框 59" o:spid="_x0000_s2515" o:spt="202" type="#_x0000_t202" style="position:absolute;left:5586018;top:2953836;height:537721;width:927103;" filled="f" stroked="f" coordsize="21600,21600" o:gfxdata="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bZHSrgAAADbAAAA&#10;DwAAAAAAAAABACAAAAAiAAAAZHJzL2Rvd25yZXYueG1sUEsBAhQAFAAAAAgAh07iQDMvBZ47AAAA&#10;OQAAABAAAAAAAAAAAQAgAAAABwEAAGRycy9zaGFwZXhtbC54bWxQSwUGAAAAAAYABgBbAQAAsQMA&#10;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入库待用</w:t>
                      </w:r>
                    </w:p>
                  </w:txbxContent>
                </v:textbox>
              </v:shape>
            </v:group>
            <v:shape id="文本框 61" o:spid="_x0000_s2517" o:spt="202" type="#_x0000_t202" style="position:absolute;left:2871657;top:3532361;height:765668;width:4277373;" filled="f" stroked="f" coordsize="21600,21600" o:gfxdata="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h8pr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仿宋" w:eastAsia="仿宋" w:hAnsiTheme="minorBidi"/>
                        <w:b/>
                        <w:color w:val="000000" w:themeColor="text1"/>
                        <w:kern w:val="24"/>
                        <w:sz w:val="28"/>
                        <w:szCs w:val="28"/>
                      </w:rPr>
                      <w:t>图2.2-1  浸渍加工生产工艺流程及产污环节图</w:t>
                    </w:r>
                  </w:p>
                </w:txbxContent>
              </v:textbox>
            </v:shape>
            <v:shape id="文本框 63" o:spid="_x0000_s2518" o:spt="202" type="#_x0000_t202" style="position:absolute;left:3397407;top:1038716;height:970147;width:1000128;" filled="f" stroked="f" coordsize="21600,21600" o:gfxdata="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1BSb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三聚氰胺胶</w:t>
                    </w:r>
                  </w:p>
                  <w:p>
                    <w:pPr>
                      <w:pStyle w:val="15"/>
                      <w:kinsoku/>
                      <w:ind w:left="0"/>
                      <w:jc w:val="left"/>
                    </w:pPr>
                    <w:r>
                      <w:rPr>
                        <w:rFonts w:ascii="Calibri" w:hAnsi="Times New Roman" w:eastAsia="仿宋"/>
                        <w:color w:val="000000" w:themeColor="text1"/>
                        <w:kern w:val="2"/>
                        <w:sz w:val="24"/>
                        <w:szCs w:val="24"/>
                      </w:rPr>
                      <w:t>尿醛树脂胶</w:t>
                    </w:r>
                  </w:p>
                </w:txbxContent>
              </v:textbox>
            </v:shape>
            <v:line id="直接连接符 65" o:spid="_x0000_s2519" o:spt="20" style="position:absolute;left:4397681;top:1165785;flip:y;height:1;width:2971448;" filled="f" stroked="t" coordsize="21600,21600" o:gfxdata="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hPRK5AAAA2wAA&#10;AA8AAAAAAAAAAQAgAAAAIgAAAGRycy9kb3ducmV2LnhtbFBLAQIUABQAAAAIAIdO4kAzLwWeOwAA&#10;ADkAAAAQAAAAAAAAAAEAIAAAAAgBAABkcnMvc2hhcGV4bWwueG1sUEsFBgAAAAAGAAYAWwEAALID&#10;AAAAAA==&#10;">
              <v:path arrowok="t"/>
              <v:fill on="f" focussize="0,0"/>
              <v:stroke color="#000000" joinstyle="round" dashstyle="3 1"/>
              <v:imagedata o:title=""/>
              <o:lock v:ext="edit" aspectratio="f"/>
            </v:line>
            <v:shape id="直接箭头连接符 67" o:spid="_x0000_s2520" o:spt="32" type="#_x0000_t32" style="position:absolute;left:4893759;top:1177215;height:1151147;width:0;" filled="f" stroked="t" coordsize="21600,21600" o:gfxdata="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p5PF62AAAA2wAAAA8A&#10;AAAAAAAAAQAgAAAAIgAAAGRycy9kb3ducmV2LnhtbFBLAQIUABQAAAAIAIdO4kAzLwWeOwAAADkA&#10;AAAQAAAAAAAAAAEAIAAAAAUBAABkcnMvc2hhcGV4bWwueG1sUEsFBgAAAAAGAAYAWwEAAK8DAAAA&#10;AA==&#10;">
              <v:path arrowok="t"/>
              <v:fill on="f" focussize="0,0"/>
              <v:stroke color="#000000" joinstyle="round" dashstyle="3 1" endarrow="block"/>
              <v:imagedata o:title=""/>
              <o:lock v:ext="edit" aspectratio="f"/>
            </v:shape>
            <v:shape id="直接箭头连接符 69" o:spid="_x0000_s2521" o:spt="32" type="#_x0000_t32" style="position:absolute;left:7369129;top:1177215;height:583036;width:2;" filled="f" stroked="t" coordsize="21600,21600" o:gfxdata="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HWpoW2AAAA2wAAAA8A&#10;AAAAAAAAAQAgAAAAIgAAAGRycy9kb3ducmV2LnhtbFBLAQIUABQAAAAIAIdO4kAzLwWeOwAAADkA&#10;AAAQAAAAAAAAAAEAIAAAAAUBAABkcnMvc2hhcGV4bWwueG1sUEsFBgAAAAAGAAYAWwEAAK8DAAAA&#10;AA==&#10;">
              <v:path arrowok="t"/>
              <v:fill on="f" focussize="0,0"/>
              <v:stroke color="#000000" joinstyle="round" dashstyle="3 1" endarrow="block"/>
              <v:imagedata o:title=""/>
              <o:lock v:ext="edit" aspectratio="f"/>
            </v:shape>
            <w10:wrap type="none"/>
            <w10:anchorlock/>
          </v:group>
        </w:pic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工艺说明：</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①开卷、接纸：原纸加入带有阻尼装置、可提供纸张所需张力的双轴开卷机。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②背面涂胶：经过开卷机的原纸由背涂装置，进行纸张背面涂胶，迫使纸中空气从正面逸出。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③呼吸排气：背面涂胶后的原纸，通过呼吸排气段，使空气排出的更彻底。</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④浸渍1、计量1：接着进入第一次浸胶槽，其浸胶时间可通过压辊进行调整，第一次浸渍量为总浸渍量的40%。</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浸渍项目使用的胶水为三聚氰胺甲醛树脂胶</w:t>
      </w:r>
      <w:r>
        <w:rPr>
          <w:rFonts w:hint="eastAsia" w:asciiTheme="minorEastAsia" w:hAnsiTheme="minorEastAsia" w:eastAsiaTheme="minorEastAsia" w:cstheme="minorEastAsia"/>
          <w:sz w:val="28"/>
          <w:szCs w:val="28"/>
          <w:lang w:val="en-US" w:eastAsia="zh-CN"/>
        </w:rPr>
        <w:t>与尿醛树脂胶</w:t>
      </w:r>
      <w:r>
        <w:rPr>
          <w:rFonts w:hint="eastAsia" w:asciiTheme="minorEastAsia" w:hAnsiTheme="minorEastAsia" w:eastAsiaTheme="minorEastAsia" w:cstheme="minorEastAsia"/>
          <w:sz w:val="28"/>
          <w:szCs w:val="28"/>
        </w:rPr>
        <w:t>，其主要成分为三聚氰胺、甲醛、己内酰胺、二甘醇</w:t>
      </w:r>
      <w:r>
        <w:rPr>
          <w:rFonts w:hint="eastAsia" w:asciiTheme="minorEastAsia" w:hAnsiTheme="minorEastAsia" w:eastAsiaTheme="minorEastAsia" w:cstheme="minorEastAsia"/>
          <w:sz w:val="28"/>
          <w:szCs w:val="28"/>
          <w:lang w:val="en-US" w:eastAsia="zh-CN"/>
        </w:rPr>
        <w:t>等</w:t>
      </w:r>
      <w:r>
        <w:rPr>
          <w:rFonts w:hint="eastAsia" w:asciiTheme="minorEastAsia" w:hAnsiTheme="minorEastAsia" w:eastAsiaTheme="minorEastAsia" w:cstheme="minorEastAsia"/>
          <w:sz w:val="28"/>
          <w:szCs w:val="28"/>
        </w:rPr>
        <w:t>。</w:t>
      </w:r>
      <w:bookmarkStart w:id="35" w:name="OLE_LINK5"/>
      <w:bookmarkStart w:id="36" w:name="OLE_LINK4"/>
      <w:r>
        <w:rPr>
          <w:rFonts w:hint="eastAsia" w:asciiTheme="minorEastAsia" w:hAnsiTheme="minorEastAsia" w:eastAsiaTheme="minorEastAsia" w:cstheme="minorEastAsia"/>
          <w:sz w:val="28"/>
          <w:szCs w:val="28"/>
        </w:rPr>
        <w:t>产品中甲醛释放量符合</w:t>
      </w:r>
      <w:bookmarkEnd w:id="35"/>
      <w:bookmarkEnd w:id="36"/>
      <w:r>
        <w:rPr>
          <w:rFonts w:hint="eastAsia" w:asciiTheme="minorEastAsia" w:hAnsiTheme="minorEastAsia" w:eastAsiaTheme="minorEastAsia" w:cstheme="minorEastAsia"/>
          <w:sz w:val="28"/>
          <w:szCs w:val="28"/>
        </w:rPr>
        <w:t>强制性国家标准《室内装饰装修材料人造板及其制品中甲醛释放限量》（GB18580-2001）中规定，产品中甲醛释放量达到E1级规定，即≤9mg/100g。本项目无制胶工序，使用的胶水均为外购</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但由于工艺技术需求，本项目胶水需按一定比例调配后用于生产</w:t>
      </w:r>
      <w:r>
        <w:rPr>
          <w:rFonts w:hint="eastAsia" w:asciiTheme="minorEastAsia" w:hAnsiTheme="minorEastAsia" w:eastAsiaTheme="minorEastAsia" w:cstheme="minorEastAsia"/>
          <w:sz w:val="28"/>
          <w:szCs w:val="28"/>
        </w:rPr>
        <w:t>。</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⑤干燥1、冷却1：一次浸渍后的原纸经展平棍展平后，进入红外干燥装置，排20%作用的水分、溶剂级挥发份，并冷却。</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⑥浸渍2、计量2：干燥后的原纸经过冷却后进入二次浸渍，二次浸胶后的原纸通过一对计量棍准确控制浸胶量，使其总浸胶量控制在工艺要求的指标内。</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⑦干燥2、冷却2：熨平胶层后再次进行干燥，温度控制在110-160℃之间，再经冷却。</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⑧调偏、牵引、剪切、堆垛：再次冷却后的原纸进入剪纸机截成一定的长度，最后自动堆垛，送入恒温恒湿的胶纸库中保存，待用。</w:t>
      </w:r>
    </w:p>
    <w:p>
      <w:pPr>
        <w:pStyle w:val="32"/>
        <w:spacing w:before="156" w:after="156"/>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2.2.1.2贴面板生产工艺流程</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贴面板生产加工线以砂光处理过的高密度纤维板通过自动进料、清扫除尘、铺叠组坯、快速出坯及进坯、热压、冷却、修边、堆垛、贮存陈化等工序得到贴面板成品。其生产工艺见图2.2-2。</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pict>
          <v:group id="组合 121" o:spid="_x0000_s2092" o:spt="203" style="height:317.75pt;width:423.65pt;" coordorigin="-234,0" coordsize="53808,40354">
            <o:lock v:ext="edit"/>
            <v:shape id="文本框 4" o:spid="_x0000_s2093" o:spt="202" type="#_x0000_t202" style="position:absolute;left:0;top:5334;height:4876;width:14479;"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Calibri" w:hAnsi="仿宋" w:eastAsia="仿宋" w:cs="Times New Roman"/>
                        <w:color w:val="000000"/>
                        <w:kern w:val="2"/>
                      </w:rPr>
                      <w:t>板材准备及检验</w:t>
                    </w:r>
                  </w:p>
                  <w:p>
                    <w:pPr>
                      <w:pStyle w:val="15"/>
                      <w:spacing w:before="0" w:beforeAutospacing="0" w:after="0" w:afterAutospacing="0"/>
                    </w:pPr>
                    <w:r>
                      <w:rPr>
                        <w:rFonts w:hint="eastAsia" w:ascii="Calibri" w:hAnsi="仿宋" w:eastAsia="仿宋" w:cs="Times New Roman"/>
                        <w:color w:val="000000"/>
                        <w:kern w:val="2"/>
                      </w:rPr>
                      <w:t>（高密度纤维板）</w:t>
                    </w:r>
                  </w:p>
                </w:txbxContent>
              </v:textbox>
            </v:shape>
            <v:shape id="_x0000_s2094" o:spid="_x0000_s2094" o:spt="32" type="#_x0000_t32" style="position:absolute;left:11913;top:7095;height:0;width:7128;" filled="f" coordsize="21600,21600">
              <v:path arrowok="t"/>
              <v:fill on="f" focussize="0,0"/>
              <v:stroke weight="0.5pt" joinstyle="miter" endarrow="block"/>
              <v:imagedata o:title=""/>
              <o:lock v:ext="edit"/>
            </v:shape>
            <v:shape id="文本框 8" o:spid="_x0000_s2095" o:spt="202" type="#_x0000_t202" style="position:absolute;left:19041;top:5632;height:2927;width:8096;"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自动进料</w:t>
                    </w:r>
                  </w:p>
                </w:txbxContent>
              </v:textbox>
            </v:shape>
            <v:shape id="_x0000_s2096" o:spid="_x0000_s2096" o:spt="32" type="#_x0000_t32" style="position:absolute;left:27118;top:7031;flip:y;height:22;width:2052;" filled="f" coordsize="21600,21600">
              <v:path arrowok="t"/>
              <v:fill on="f" focussize="0,0"/>
              <v:stroke weight="0.5pt" joinstyle="miter" endarrow="block"/>
              <v:imagedata o:title=""/>
              <o:lock v:ext="edit"/>
            </v:shape>
            <v:shape id="文本框 8" o:spid="_x0000_s2097" o:spt="202" type="#_x0000_t202" style="position:absolute;left:29170;top:5632;height:2927;width:8096;"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清扫除尘</w:t>
                    </w:r>
                  </w:p>
                </w:txbxContent>
              </v:textbox>
            </v:shape>
            <v:shape id="_x0000_s2098" o:spid="_x0000_s2098" o:spt="32" type="#_x0000_t32" style="position:absolute;left:37246;top:7095;flip:y;height:22;width:2052;" filled="f" coordsize="21600,21600">
              <v:path arrowok="t"/>
              <v:fill on="f" focussize="0,0"/>
              <v:stroke weight="0.5pt" joinstyle="miter" endarrow="block"/>
              <v:imagedata o:title=""/>
              <o:lock v:ext="edit"/>
            </v:shape>
            <v:shape id="文本框 10" o:spid="_x0000_s2099" o:spt="202" type="#_x0000_t202" style="position:absolute;left:39280;top:5632;height:2927;width:8097;"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铺叠组坯</w:t>
                    </w:r>
                  </w:p>
                </w:txbxContent>
              </v:textbox>
            </v:shape>
            <v:shape id="_x0000_s2100" o:spid="_x0000_s2100" o:spt="32" type="#_x0000_t32" style="position:absolute;left:43347;top:8559;flip:x;height:2769;width:0;" filled="f" coordsize="21600,21600">
              <v:path arrowok="t"/>
              <v:fill on="f" focussize="0,0"/>
              <v:stroke weight="0.5pt" joinstyle="miter" endarrow="block"/>
              <v:imagedata o:title=""/>
              <o:lock v:ext="edit"/>
            </v:shape>
            <v:shape id="文本框 12" o:spid="_x0000_s2101" o:spt="202" type="#_x0000_t202" style="position:absolute;left:35818;top:11461;height:2928;width:13272;"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快速出坯及进坯</w:t>
                    </w:r>
                  </w:p>
                </w:txbxContent>
              </v:textbox>
            </v:shape>
            <v:shape id="文本框 5" o:spid="_x0000_s2102" o:spt="202" type="#_x0000_t202" style="position:absolute;left:28704;top:11405;height:3141;width:5239;"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热压</w:t>
                    </w:r>
                    <w:r>
                      <w:rPr>
                        <w:rFonts w:ascii="Calibri" w:hAnsi="Calibri" w:eastAsia="仿宋" w:cs="Times New Roman"/>
                        <w:color w:val="000000"/>
                        <w:kern w:val="2"/>
                      </w:rPr>
                      <w:t xml:space="preserve"> </w:t>
                    </w:r>
                  </w:p>
                </w:txbxContent>
              </v:textbox>
            </v:shape>
            <v:shape id="_x0000_s2103" o:spid="_x0000_s2103" o:spt="32" type="#_x0000_t32" style="position:absolute;left:33940;top:12925;flip:y;height:50;width:1875;" filled="f" coordsize="21600,21600">
              <v:path arrowok="t"/>
              <v:fill on="f" focussize="0,0"/>
              <v:stroke weight="0.5pt" joinstyle="miter" startarrow="block"/>
              <v:imagedata o:title=""/>
              <o:lock v:ext="edit"/>
            </v:shape>
            <v:shape id="_x0000_s2104" o:spid="_x0000_s2104" o:spt="32" type="#_x0000_t32" style="position:absolute;left:26679;top:12844;flip:y;height:22;width:2052;" filled="f" coordsize="21600,21600">
              <v:path arrowok="t"/>
              <v:fill on="f" focussize="0,0"/>
              <v:stroke weight="0.5pt" joinstyle="miter" startarrow="block"/>
              <v:imagedata o:title=""/>
              <o:lock v:ext="edit"/>
            </v:shape>
            <v:shape id="文本框 5" o:spid="_x0000_s2105" o:spt="202" type="#_x0000_t202" style="position:absolute;left:21604;top:11492;height:3142;width:523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冷却</w:t>
                    </w:r>
                    <w:r>
                      <w:rPr>
                        <w:rFonts w:ascii="Calibri" w:hAnsi="Calibri" w:eastAsia="仿宋" w:cs="Times New Roman"/>
                        <w:color w:val="000000"/>
                        <w:kern w:val="2"/>
                      </w:rPr>
                      <w:t xml:space="preserve"> </w:t>
                    </w:r>
                  </w:p>
                </w:txbxContent>
              </v:textbox>
            </v:shape>
            <v:shape id="_x0000_s2106" o:spid="_x0000_s2106" o:spt="32" type="#_x0000_t32" style="position:absolute;left:19533;top:12775;flip:y;height:22;width:2052;" filled="f" coordsize="21600,21600">
              <v:path arrowok="t"/>
              <v:fill on="f" focussize="0,0"/>
              <v:stroke weight="0.5pt" joinstyle="miter" startarrow="block"/>
              <v:imagedata o:title=""/>
              <o:lock v:ext="edit"/>
            </v:shape>
            <v:shape id="文本框 5" o:spid="_x0000_s2107" o:spt="202" type="#_x0000_t202" style="position:absolute;left:14276;top:11633;height:3172;width:5239;"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修边</w:t>
                    </w:r>
                    <w:r>
                      <w:rPr>
                        <w:rFonts w:ascii="Calibri" w:hAnsi="Calibri" w:eastAsia="仿宋" w:cs="Times New Roman"/>
                        <w:color w:val="000000"/>
                        <w:kern w:val="2"/>
                      </w:rPr>
                      <w:t xml:space="preserve"> </w:t>
                    </w:r>
                  </w:p>
                </w:txbxContent>
              </v:textbox>
            </v:shape>
            <v:shape id="_x0000_s2108" o:spid="_x0000_s2108" o:spt="32" type="#_x0000_t32" style="position:absolute;left:12206;top:13063;flip:y;height:22;width:2052;" filled="f" coordsize="21600,21600">
              <v:path arrowok="t"/>
              <v:fill on="f" focussize="0,0"/>
              <v:stroke weight="0.5pt" joinstyle="miter" startarrow="block"/>
              <v:imagedata o:title=""/>
              <o:lock v:ext="edit"/>
            </v:shape>
            <v:shape id="文本框 5" o:spid="_x0000_s2109" o:spt="202" type="#_x0000_t202" style="position:absolute;left:6949;top:11633;height:3172;width:5239;"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堆垛</w:t>
                    </w:r>
                    <w:r>
                      <w:rPr>
                        <w:rFonts w:ascii="Calibri" w:hAnsi="Calibri" w:eastAsia="仿宋" w:cs="Times New Roman"/>
                        <w:color w:val="000000"/>
                        <w:kern w:val="2"/>
                      </w:rPr>
                      <w:t xml:space="preserve"> </w:t>
                    </w:r>
                  </w:p>
                </w:txbxContent>
              </v:textbox>
            </v:shape>
            <v:shape id="_x0000_s2110" o:spid="_x0000_s2110" o:spt="32" type="#_x0000_t32" style="position:absolute;left:9630;top:14688;flip:x;height:2769;width:0;" filled="f" coordsize="21600,21600">
              <v:path arrowok="t"/>
              <v:fill on="f" focussize="0,0"/>
              <v:stroke weight="0.5pt" joinstyle="miter" endarrow="block"/>
              <v:imagedata o:title=""/>
              <o:lock v:ext="edit"/>
            </v:shape>
            <v:shape id="文本框 25" o:spid="_x0000_s2111" o:spt="202" type="#_x0000_t202" style="position:absolute;left:5468;top:17364;height:2927;width:8097;"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贮存陈化</w:t>
                    </w:r>
                  </w:p>
                </w:txbxContent>
              </v:textbox>
            </v:shape>
            <v:shape id="_x0000_s2112" o:spid="_x0000_s2112" o:spt="32" type="#_x0000_t32" style="position:absolute;left:47375;top:7031;height:0;width:2955;" filled="f" coordsize="21600,21600">
              <v:path arrowok="t"/>
              <v:fill on="f" focussize="0,0"/>
              <v:stroke weight="0.5pt" joinstyle="miter" startarrow="block"/>
              <v:imagedata o:title=""/>
              <o:lock v:ext="edit"/>
            </v:shape>
            <v:line id="_x0000_s2113" o:spid="_x0000_s2113" o:spt="20" style="position:absolute;left:50388;top:3058;flip:y;height:3978;width:0;" coordsize="21600,21600">
              <v:path arrowok="t"/>
              <v:fill focussize="0,0"/>
              <v:stroke weight="0.5pt" joinstyle="miter"/>
              <v:imagedata o:title=""/>
              <o:lock v:ext="edit"/>
            </v:line>
            <v:shape id="文本框 16" o:spid="_x0000_s2114" o:spt="202" type="#_x0000_t202" style="position:absolute;left:45032;top:84;height:2925;width:7376;"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平衡纸</w:t>
                    </w:r>
                  </w:p>
                </w:txbxContent>
              </v:textbox>
            </v:shape>
            <v:shape id="_x0000_s2115" o:spid="_x0000_s2115" o:spt="32" type="#_x0000_t32" style="position:absolute;left:41699;top:2652;flip:x;height:2769;width:0;" filled="f" coordsize="21600,21600">
              <v:path arrowok="t"/>
              <v:fill on="f" focussize="0,0"/>
              <v:stroke weight="0.5pt" joinstyle="miter" endarrow="block"/>
              <v:imagedata o:title=""/>
              <o:lock v:ext="edit"/>
            </v:shape>
            <v:shape id="文本框 16" o:spid="_x0000_s2116" o:spt="202" type="#_x0000_t202" style="position:absolute;left:37139;top:0;height:2863;width:6452;"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装饰纸</w:t>
                    </w:r>
                  </w:p>
                </w:txbxContent>
              </v:textbox>
            </v:shape>
            <v:shape id="_x0000_s2117" o:spid="_x0000_s2117" o:spt="32" type="#_x0000_t32" style="position:absolute;left:35052;top:1290;flip:y;height:22;width:2052;" filled="f" coordsize="21600,21600">
              <v:path arrowok="t"/>
              <v:fill on="f" focussize="0,0"/>
              <v:stroke weight="0.5pt" joinstyle="miter" endarrow="block"/>
              <v:imagedata o:title=""/>
              <o:lock v:ext="edit"/>
            </v:shape>
            <v:shape id="文本框 16" o:spid="_x0000_s2118" o:spt="202" type="#_x0000_t202" style="position:absolute;left:27314;top:104;height:2885;width:7544;"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耐磨纸</w:t>
                    </w:r>
                  </w:p>
                </w:txbxContent>
              </v:textbox>
            </v:shape>
            <v:line id="_x0000_s2119" o:spid="_x0000_s2119" o:spt="20" style="position:absolute;left:13565;top:4063;height:11831;width:0;" coordsize="21600,21600">
              <v:path arrowok="t"/>
              <v:fill focussize="0,0"/>
              <v:stroke weight="0.5pt" joinstyle="miter" dashstyle="3 1"/>
              <v:imagedata o:title=""/>
              <o:lock v:ext="edit"/>
            </v:line>
            <v:line id="_x0000_s2120" o:spid="_x0000_s2120" o:spt="20" style="position:absolute;left:13697;top:4036;height:0;width:36091;" coordsize="21600,21600">
              <v:path arrowok="t"/>
              <v:fill focussize="0,0"/>
              <v:stroke weight="0.5pt" joinstyle="miter" dashstyle="3 1"/>
              <v:imagedata o:title=""/>
              <o:lock v:ext="edit"/>
            </v:line>
            <v:line id="_x0000_s2121" o:spid="_x0000_s2121" o:spt="20" style="position:absolute;left:49788;top:4036;height:11858;width:0;" coordsize="21600,21600">
              <v:path arrowok="t"/>
              <v:fill focussize="0,0"/>
              <v:stroke weight="0.5pt" joinstyle="miter" dashstyle="3 1"/>
              <v:imagedata o:title=""/>
              <o:lock v:ext="edit"/>
            </v:line>
            <v:line id="_x0000_s2122" o:spid="_x0000_s2122" o:spt="20" style="position:absolute;left:13565;top:15823;height:0;width:36223;" coordsize="21600,21600">
              <v:path arrowok="t"/>
              <v:fill focussize="0,0"/>
              <v:stroke weight="0.5pt" joinstyle="miter" dashstyle="3 1"/>
              <v:imagedata o:title=""/>
              <o:lock v:ext="edit"/>
            </v:line>
            <v:shape id="_x0000_s2123" o:spid="_x0000_s2123" o:spt="67" type="#_x0000_t67" style="position:absolute;left:27371;top:15894;height:7133;width:1360;v-text-anchor:middle;" coordsize="21600,21600" adj="19542">
              <v:path/>
              <v:fill focussize="0,0"/>
              <v:stroke weight="1pt" joinstyle="miter"/>
              <v:imagedata o:title=""/>
              <o:lock v:ext="edit"/>
            </v:shape>
            <v:shape id="文本框 57" o:spid="_x0000_s2124" o:spt="202" type="#_x0000_t202" style="position:absolute;left:13845;top:23087;height:2916;width:28986;"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密闭式吸尘罩（各产尘点）及输送风道</w:t>
                    </w:r>
                  </w:p>
                </w:txbxContent>
              </v:textbox>
            </v:shape>
            <v:shape id="文本框 58" o:spid="_x0000_s2125" o:spt="202" type="#_x0000_t202" style="position:absolute;left:29168;top:17989;height:2896;width:18150;"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Calibri" w:hAnsi="仿宋" w:eastAsia="仿宋" w:cs="Times New Roman"/>
                        <w:color w:val="000000"/>
                        <w:kern w:val="2"/>
                      </w:rPr>
                      <w:t>废气（粉尘、甲醛等）</w:t>
                    </w:r>
                  </w:p>
                </w:txbxContent>
              </v:textbox>
            </v:shape>
            <v:shape id="_x0000_s2126" o:spid="_x0000_s2126" o:spt="32" type="#_x0000_t32" style="position:absolute;left:26339;top:26003;height:2144;width:0;" filled="f" coordsize="21600,21600">
              <v:path arrowok="t"/>
              <v:fill on="f" focussize="0,0"/>
              <v:stroke weight="0.5pt" joinstyle="miter" endarrow="block"/>
              <v:imagedata o:title=""/>
              <o:lock v:ext="edit"/>
            </v:shape>
            <v:shape id="文本框 61" o:spid="_x0000_s2127" o:spt="202" type="#_x0000_t202" style="position:absolute;left:21207;top:27921;height:2614;width:9734;"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旋风除尘器</w:t>
                    </w:r>
                  </w:p>
                </w:txbxContent>
              </v:textbox>
            </v:shape>
            <v:shape id="_x0000_s2128" o:spid="_x0000_s2128" o:spt="32" type="#_x0000_t32" style="position:absolute;left:30941;top:29164;flip:y;height:22;width:2052;" filled="f" coordsize="21600,21600">
              <v:path arrowok="t"/>
              <v:fill on="f" focussize="0,0"/>
              <v:stroke weight="0.5pt" joinstyle="miter" endarrow="block"/>
              <v:imagedata o:title=""/>
              <o:lock v:ext="edit"/>
            </v:shape>
            <v:shape id="文本框 63" o:spid="_x0000_s2129" o:spt="202" type="#_x0000_t202" style="position:absolute;left:32994;top:27842;height:2927;width:947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布袋除尘器</w:t>
                    </w:r>
                  </w:p>
                </w:txbxContent>
              </v:textbox>
            </v:shape>
            <v:shape id="_x0000_s2130" o:spid="_x0000_s2130" o:spt="32" type="#_x0000_t32" style="position:absolute;left:42472;top:29208;flip:y;height:22;width:2052;" filled="f" coordsize="21600,21600">
              <v:path arrowok="t"/>
              <v:fill on="f" focussize="0,0"/>
              <v:stroke weight="0.5pt" joinstyle="miter" endarrow="block"/>
              <v:imagedata o:title=""/>
              <o:lock v:ext="edit"/>
            </v:shape>
            <v:shape id="文本框 16" o:spid="_x0000_s2131" o:spt="202" type="#_x0000_t202" style="position:absolute;left:44524;top:27890;height:2849;width:732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引风机</w:t>
                    </w:r>
                  </w:p>
                </w:txbxContent>
              </v:textbox>
            </v:shape>
            <v:shape id="文本框 68" o:spid="_x0000_s2132" o:spt="202" type="#_x0000_t202" style="position:absolute;left:44523;top:21355;height:2895;width:9050;"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Calibri" w:hAnsi="仿宋" w:eastAsia="仿宋" w:cs="Times New Roman"/>
                        <w:color w:val="000000"/>
                        <w:kern w:val="2"/>
                      </w:rPr>
                      <w:t>排空</w:t>
                    </w:r>
                    <w:r>
                      <w:rPr>
                        <w:rFonts w:ascii="Calibri" w:hAnsi="Calibri" w:eastAsia="仿宋" w:cs="Times New Roman"/>
                        <w:color w:val="000000"/>
                        <w:kern w:val="2"/>
                      </w:rPr>
                      <w:t>H</w:t>
                    </w:r>
                    <w:r>
                      <w:rPr>
                        <w:rFonts w:hint="eastAsia" w:ascii="Calibri" w:hAnsi="Calibri" w:eastAsia="仿宋" w:cs="Times New Roman"/>
                        <w:color w:val="000000"/>
                        <w:kern w:val="2"/>
                        <w:lang w:val="en-US" w:eastAsia="zh-CN"/>
                      </w:rPr>
                      <w:t>1</w:t>
                    </w:r>
                    <w:r>
                      <w:rPr>
                        <w:rFonts w:ascii="Calibri" w:hAnsi="Calibri" w:eastAsia="仿宋" w:cs="Times New Roman"/>
                        <w:color w:val="000000"/>
                        <w:kern w:val="2"/>
                      </w:rPr>
                      <w:t>5m</w:t>
                    </w:r>
                  </w:p>
                </w:txbxContent>
              </v:textbox>
            </v:shape>
            <v:shape id="_x0000_s2133" o:spid="_x0000_s2133" o:spt="32" type="#_x0000_t32" style="position:absolute;left:19161;top:29120;flip:y;height:22;width:2052;" filled="f" coordsize="21600,21600">
              <v:path arrowok="t"/>
              <v:fill on="f" focussize="0,0"/>
              <v:stroke weight="0.5pt" joinstyle="miter" startarrow="block"/>
              <v:imagedata o:title=""/>
              <o:lock v:ext="edit"/>
            </v:shape>
            <v:shape id="文本框 16" o:spid="_x0000_s2134" o:spt="202" type="#_x0000_t202" style="position:absolute;left:12207;top:27989;height:2927;width:6953;"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贮尘室</w:t>
                    </w:r>
                  </w:p>
                </w:txbxContent>
              </v:textbox>
            </v:shape>
            <v:shape id="_x0000_s2135" o:spid="_x0000_s2135" o:spt="32" type="#_x0000_t32" style="position:absolute;left:10155;top:29142;flip:y;height:22;width:2052;" filled="f" coordsize="21600,21600">
              <v:path arrowok="t"/>
              <v:fill on="f" focussize="0,0"/>
              <v:stroke weight="0.5pt" joinstyle="miter" startarrow="block"/>
              <v:imagedata o:title=""/>
              <o:lock v:ext="edit"/>
            </v:shape>
            <v:shape id="文本框 72" o:spid="_x0000_s2136" o:spt="202" type="#_x0000_t202" style="position:absolute;left:-234;top:27920;height:2896;width:11868;"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Calibri" w:hAnsi="仿宋" w:eastAsia="仿宋" w:cs="Times New Roman"/>
                        <w:color w:val="000000"/>
                        <w:kern w:val="2"/>
                      </w:rPr>
                      <w:t>作为燃料燃烧</w:t>
                    </w:r>
                  </w:p>
                </w:txbxContent>
              </v:textbox>
            </v:shape>
            <v:line id="_x0000_s2137" o:spid="_x0000_s2137" o:spt="20" style="position:absolute;left:20167;top:26759;flip:x;height:5571;width:8;" coordsize="21600,21600">
              <v:path arrowok="t"/>
              <v:fill focussize="0,0"/>
              <v:stroke weight="0.5pt" joinstyle="miter" dashstyle="3 1"/>
              <v:imagedata o:title=""/>
              <o:lock v:ext="edit"/>
            </v:line>
            <v:line id="_x0000_s2138" o:spid="_x0000_s2138" o:spt="20" style="position:absolute;left:20135;top:26752;height:0;width:22956;" coordsize="21600,21600">
              <v:path arrowok="t"/>
              <v:fill focussize="0,0"/>
              <v:stroke weight="0.5pt" joinstyle="miter" dashstyle="3 1"/>
              <v:imagedata o:title=""/>
              <o:lock v:ext="edit"/>
            </v:line>
            <v:line id="_x0000_s2139" o:spid="_x0000_s2139" o:spt="20" style="position:absolute;left:20168;top:32330;height:0;width:22923;" coordsize="21600,21600">
              <v:path arrowok="t"/>
              <v:fill focussize="0,0"/>
              <v:stroke weight="0.5pt" joinstyle="miter" dashstyle="3 1"/>
              <v:imagedata o:title=""/>
              <o:lock v:ext="edit"/>
            </v:line>
            <v:line id="_x0000_s2140" o:spid="_x0000_s2140" o:spt="20" style="position:absolute;left:43220;top:26759;height:5575;width:49;" coordsize="21600,21600">
              <v:path arrowok="t"/>
              <v:fill focussize="0,0"/>
              <v:stroke weight="0.5pt" joinstyle="miter" dashstyle="3 1"/>
              <v:imagedata o:title=""/>
              <o:lock v:ext="edit"/>
            </v:line>
            <v:shape id="文本框 86" o:spid="_x0000_s2141" o:spt="202" type="#_x0000_t202" style="position:absolute;left:9428;top:35477;height:4877;width:40882;"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仿宋" w:hAnsi="仿宋" w:eastAsia="仿宋" w:cs="Times New Roman"/>
                        <w:b/>
                        <w:bCs/>
                        <w:color w:val="000000"/>
                        <w:kern w:val="24"/>
                        <w:sz w:val="28"/>
                        <w:szCs w:val="28"/>
                      </w:rPr>
                      <w:t>图</w:t>
                    </w:r>
                    <w:r>
                      <w:rPr>
                        <w:rFonts w:ascii="仿宋" w:hAnsi="仿宋" w:eastAsia="仿宋" w:cs="Times New Roman"/>
                        <w:b/>
                        <w:bCs/>
                        <w:color w:val="000000"/>
                        <w:kern w:val="24"/>
                        <w:sz w:val="28"/>
                        <w:szCs w:val="28"/>
                      </w:rPr>
                      <w:t xml:space="preserve">2.2-2  </w:t>
                    </w:r>
                    <w:r>
                      <w:rPr>
                        <w:rFonts w:hint="eastAsia" w:ascii="仿宋" w:hAnsi="仿宋" w:eastAsia="仿宋" w:cs="Times New Roman"/>
                        <w:b/>
                        <w:bCs/>
                        <w:color w:val="000000"/>
                        <w:kern w:val="24"/>
                        <w:sz w:val="28"/>
                        <w:szCs w:val="28"/>
                      </w:rPr>
                      <w:t>贴面加工生产工艺流程及产污环节图</w:t>
                    </w:r>
                  </w:p>
                </w:txbxContent>
              </v:textbox>
            </v:shape>
            <v:shape id="_x0000_s2142" o:spid="_x0000_s2142" o:spt="32" type="#_x0000_t32" style="position:absolute;left:48340;top:23611;flip:x y;height:4378;width:21;" filled="f" coordsize="21600,21600">
              <v:path arrowok="t"/>
              <v:fill on="f" focussize="0,0"/>
              <v:stroke weight="0.5pt" joinstyle="miter" endarrow="block"/>
              <v:imagedata o:title=""/>
              <o:lock v:ext="edit"/>
            </v:shape>
            <w10:wrap type="none"/>
            <w10:anchorlock/>
          </v:group>
        </w:pic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工艺说明：</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①板材准备及检验：已砂光处理过的高密度纤维板，经仓库贮存一定时间后进入生产线。</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②自动进料、清扫除尘：通过推板进料机自动进料，经清扫除尘后送到铺叠组坯运输机上。</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③铺叠组坯、快速出坯及进坯、热压：经清扫除尘后送到铺叠组坯运输机上后、依次铺放平衡纸、板（基）材、装饰纸、耐磨纸，</w:t>
      </w:r>
      <w:r>
        <w:rPr>
          <w:rFonts w:hint="eastAsia" w:asciiTheme="minorEastAsia" w:hAnsiTheme="minorEastAsia" w:eastAsiaTheme="minorEastAsia" w:cstheme="minorEastAsia"/>
          <w:sz w:val="28"/>
          <w:szCs w:val="28"/>
          <w:lang w:val="en-US" w:eastAsia="zh-CN"/>
        </w:rPr>
        <w:t>由</w:t>
      </w:r>
      <w:r>
        <w:rPr>
          <w:rFonts w:hint="eastAsia" w:asciiTheme="minorEastAsia" w:hAnsiTheme="minorEastAsia" w:eastAsiaTheme="minorEastAsia" w:cstheme="minorEastAsia"/>
          <w:sz w:val="28"/>
          <w:szCs w:val="28"/>
        </w:rPr>
        <w:t>组坯运输机快速送入热压机内压贴，同时将已压贴好的贴面板推出压机，压机加热温度为200-220℃。</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④冷却、修边、：热压完成后的贴面板冷却后经修边检验。</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⑤堆垛、贮存陈化：检验后则堆垛放在仓库中贮存陈化10-15天，以平衡板内应力，防止贴面板变形。</w:t>
      </w:r>
    </w:p>
    <w:p>
      <w:pPr>
        <w:pStyle w:val="32"/>
        <w:spacing w:before="156" w:after="156"/>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2.2.1.3地板加工生产工艺流程</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地板加工生产线将堆存陈化后的贴面板通过自动进料、多片锯开料、自动翻转、开纵榫槽、双端铣开横榫槽、翻转检验、堆叠成垛、包装、收缩薄膜覆包等工序，将成品包装入库。其生产工艺见图2.2-3。</w:t>
      </w:r>
    </w:p>
    <w:p>
      <w:pPr>
        <w:spacing w:line="360" w:lineRule="auto"/>
        <w:rPr>
          <w:rFonts w:hint="eastAsia" w:asciiTheme="minorEastAsia" w:hAnsiTheme="minorEastAsia" w:eastAsiaTheme="minorEastAsia" w:cstheme="minorEastAsia"/>
          <w:sz w:val="28"/>
          <w:szCs w:val="28"/>
        </w:rPr>
      </w:pPr>
      <w:r>
        <w:pict>
          <v:group id="组合 1" o:spid="_x0000_s2480" o:spt="203" style="height:289.75pt;width:439.6pt;" coordorigin="4652,1856" coordsize="8792,5795" o:gfxdata="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">
            <o:lock v:ext="edit" aspectratio="f"/>
            <v:shape id="文本框 3" o:spid="_x0000_s2404" o:spt="202" type="#_x0000_t202" style="position:absolute;left:4873;top:2127;height:736;width:1086;" filled="f" stroked="f" coordsize="21600,21600"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贴面板</w:t>
                    </w:r>
                  </w:p>
                </w:txbxContent>
              </v:textbox>
            </v:shape>
            <v:shape id="直接箭头连接符 4" o:spid="_x0000_s2405" o:spt="32" type="#_x0000_t32" style="position:absolute;left:5829;top:2316;flip:y;height:10;width:659;" filled="f" stroked="t" coordsize="21600,21600" o:gfxdata="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8BSvQAA&#10;ANo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shape>
            <v:shape id="直接箭头连接符 6" o:spid="_x0000_s2406" o:spt="32" type="#_x0000_t32" style="position:absolute;left:7798;top:2345;flip:y;height:3;width:323;" filled="f" stroked="t" coordsize="21600,21600" o:gfxdata="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X7vr4A&#10;AADa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文本框 8" o:spid="_x0000_s2407" o:spt="202" type="#_x0000_t202" style="position:absolute;left:6513;top:2112;height:461;width:1275;"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自动进料</w:t>
                    </w:r>
                  </w:p>
                </w:txbxContent>
              </v:textbox>
            </v:shape>
            <v:shape id="文本框 8" o:spid="_x0000_s2408" o:spt="202" type="#_x0000_t202" style="position:absolute;left:8130;top:2094;height:461;width:1587;"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多片锯开料</w:t>
                    </w:r>
                  </w:p>
                </w:txbxContent>
              </v:textbox>
            </v:shape>
            <v:shape id="直接箭头连接符 9" o:spid="_x0000_s2409" o:spt="32" type="#_x0000_t32" style="position:absolute;left:9726;top:2342;flip:y;height:3;width:323;" filled="f" stroked="t" coordsize="21600,21600" o:gfxdata="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8VL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文本框 8" o:spid="_x0000_s2410" o:spt="202" type="#_x0000_t202" style="position:absolute;left:10048;top:2096;height:474;width:1275;"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自动翻转</w:t>
                    </w:r>
                  </w:p>
                </w:txbxContent>
              </v:textbox>
            </v:shape>
            <v:shape id="文本框 8" o:spid="_x0000_s2411" o:spt="202" type="#_x0000_t202" style="position:absolute;left:11645;top:2109;height:461;width:1275;"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开纵榫槽</w:t>
                    </w:r>
                  </w:p>
                </w:txbxContent>
              </v:textbox>
            </v:shape>
            <v:shape id="直接箭头连接符 12" o:spid="_x0000_s2412" o:spt="32" type="#_x0000_t32" style="position:absolute;left:11312;top:2316;flip:y;height:3;width:323;" filled="f" stroked="t" coordsize="21600,21600" o:gfxdata="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vIiO8AAAA&#10;2w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shape>
            <v:shape id="直接箭头连接符 13" o:spid="_x0000_s2413" o:spt="32" type="#_x0000_t32" style="position:absolute;left:12283;top:2591;flip:x;height:436;width:0;" filled="f" stroked="t" coordsize="21600,21600" o:gfxdata="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Gule8AAAA&#10;2w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shape>
            <v:shape id="文本框 14" o:spid="_x0000_s2414" o:spt="202" type="#_x0000_t202" style="position:absolute;left:11825;top:3021;height:429;width:1112;"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封蜡</w:t>
                    </w:r>
                  </w:p>
                </w:txbxContent>
              </v:textbox>
            </v:shape>
            <v:shape id="直接箭头连接符 15" o:spid="_x0000_s2415" o:spt="32" type="#_x0000_t32" style="position:absolute;left:11468;top:3251;flip:y;height:11;width:358;" filled="f" stroked="t" coordsize="21600,21600" o:gfxdata="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j+wugAAANsA&#10;AAAPAAAAAAAAAAEAIAAAACIAAABkcnMvZG93bnJldi54bWxQSwECFAAUAAAACACHTuJAMy8FnjsA&#10;AAA5AAAAEAAAAAAAAAABACAAAAAJAQAAZHJzL3NoYXBleG1sLnhtbFBLBQYAAAAABgAGAFsBAACz&#10;AwAAAAA=&#10;">
              <v:path arrowok="t"/>
              <v:fill on="f" focussize="0,0"/>
              <v:stroke color="#000000" joinstyle="round" startarrow="block"/>
              <v:imagedata o:title=""/>
              <o:lock v:ext="edit" aspectratio="f"/>
            </v:shape>
            <v:shape id="文本框 16" o:spid="_x0000_s2416" o:spt="202" type="#_x0000_t202" style="position:absolute;left:9438;top:3021;height:450;width:2038;"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双端铣开横榫槽</w:t>
                    </w:r>
                  </w:p>
                </w:txbxContent>
              </v:textbox>
            </v:shape>
            <v:shape id="直接箭头连接符 20" o:spid="_x0000_s2417" o:spt="32" type="#_x0000_t32" style="position:absolute;left:9060;top:3246;flip:y;height:11;width:358;" filled="f" stroked="t" coordsize="21600,21600" o:gfxdata="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215vQAA&#10;ANsAAAAPAAAAAAAAAAEAIAAAACIAAABkcnMvZG93bnJldi54bWxQSwECFAAUAAAACACHTuJAMy8F&#10;njsAAAA5AAAAEAAAAAAAAAABACAAAAAMAQAAZHJzL3NoYXBleG1sLnhtbFBLBQYAAAAABgAGAFsB&#10;AAC2AwAAAAA=&#10;">
              <v:path arrowok="t"/>
              <v:fill on="f" focussize="0,0"/>
              <v:stroke color="#000000" joinstyle="round" startarrow="block"/>
              <v:imagedata o:title=""/>
              <o:lock v:ext="edit" aspectratio="f"/>
            </v:shape>
            <v:shape id="文本框 8" o:spid="_x0000_s2418" o:spt="202" type="#_x0000_t202" style="position:absolute;left:7812;top:3022;height:474;width:1275;"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翻转检验</w:t>
                    </w:r>
                  </w:p>
                </w:txbxContent>
              </v:textbox>
            </v:shape>
            <v:shape id="直接箭头连接符 23" o:spid="_x0000_s2419" o:spt="32" type="#_x0000_t32" style="position:absolute;left:7444;top:3262;flip:y;height:11;width:358;" filled="f" stroked="t" coordsize="21600,21600" o:gfxdata="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DO4b4A&#10;AADbAAAADwAAAAAAAAABACAAAAAiAAAAZHJzL2Rvd25yZXYueG1sUEsBAhQAFAAAAAgAh07iQDMv&#10;BZ47AAAAOQAAABAAAAAAAAAAAQAgAAAADQEAAGRycy9zaGFwZXhtbC54bWxQSwUGAAAAAAYABgBb&#10;AQAAtwMAAAAA&#10;">
              <v:path arrowok="t"/>
              <v:fill on="f" focussize="0,0"/>
              <v:stroke color="#000000" joinstyle="round" startarrow="block"/>
              <v:imagedata o:title=""/>
              <o:lock v:ext="edit" aspectratio="f"/>
            </v:shape>
            <v:shape id="文本框 8" o:spid="_x0000_s2420" o:spt="202" type="#_x0000_t202" style="position:absolute;left:6182;top:3022;height:474;width:127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堆叠成垛</w:t>
                    </w:r>
                  </w:p>
                </w:txbxContent>
              </v:textbox>
            </v:shape>
            <v:shape id="直接箭头连接符 25" o:spid="_x0000_s2421" o:spt="32" type="#_x0000_t32" style="position:absolute;left:5829;top:3275;flip:y;height:11;width:358;" filled="f" stroked="t" coordsize="21600,21600" o:gfxdata="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71Db4A&#10;AADbAAAADwAAAAAAAAABACAAAAAiAAAAZHJzL2Rvd25yZXYueG1sUEsBAhQAFAAAAAgAh07iQDMv&#10;BZ47AAAAOQAAABAAAAAAAAAAAQAgAAAADQEAAGRycy9zaGFwZXhtbC54bWxQSwUGAAAAAAYABgBb&#10;AQAAtwMAAAAA&#10;">
              <v:path arrowok="t"/>
              <v:fill on="f" focussize="0,0"/>
              <v:stroke color="#000000" joinstyle="round" startarrow="block"/>
              <v:imagedata o:title=""/>
              <o:lock v:ext="edit" aspectratio="f"/>
            </v:shape>
            <v:shape id="文本框 5" o:spid="_x0000_s2422" o:spt="202" type="#_x0000_t202" style="position:absolute;left:5032;top:3015;height:461;width:825;"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 xml:space="preserve">包装 </w:t>
                    </w:r>
                  </w:p>
                </w:txbxContent>
              </v:textbox>
            </v:shape>
            <v:shape id="直接箭头连接符 27" o:spid="_x0000_s2423" o:spt="32" type="#_x0000_t32" style="position:absolute;left:5415;top:3480;flip:x;height:436;width:0;" filled="f" stroked="t" coordsize="21600,21600" o:gfxdata="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677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28" o:spid="_x0000_s2424" o:spt="202" type="#_x0000_t202" style="position:absolute;left:4652;top:3950;height:450;width:2038;"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收缩薄膜覆包</w:t>
                    </w:r>
                  </w:p>
                </w:txbxContent>
              </v:textbox>
            </v:shape>
            <v:shape id="直接箭头连接符 29" o:spid="_x0000_s2425" o:spt="32" type="#_x0000_t32" style="position:absolute;left:5671;top:4420;flip:x;height:436;width:0;"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30" o:spid="_x0000_s2426" o:spt="202" type="#_x0000_t202" style="position:absolute;left:5047;top:4858;height:736;width:1508;" filled="f" stroked="f" coordsize="21600,21600" o:gfxdata="UEsDBAoAAAAAAIdO4kAAAAAAAAAAAAAAAAAEAAAAZHJzL1BLAwQUAAAACACHTuJA8UnNzLsAAADb&#10;AAAADwAAAGRycy9kb3ducmV2LnhtbEWPwWrDMBBE74X8g9hAb43kl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nNzL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成品入库</w:t>
                    </w:r>
                  </w:p>
                </w:txbxContent>
              </v:textbox>
            </v:shape>
            <v:group id="组合 31" o:spid="_x0000_s2474" o:spt="203" style="position:absolute;left:4762;top:3796;height:2657;width:8158;" coordorigin="3780407,2775502" coordsize="5180591,168733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下箭头 32" o:spid="_x0000_s2427" o:spt="67" type="#_x0000_t67" style="position:absolute;left:6321081;top:2775502;height:713286;width:135950;v-text-anchor:middle;" fillcolor="#FFFFFF" filled="t" stroked="t" coordsize="21600,21600" o:gfxdata="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PI9U7gAAADbAAAA&#10;DwAAAAAAAAABACAAAAAiAAAAZHJzL2Rvd25yZXYueG1sUEsBAhQAFAAAAAgAh07iQDMvBZ47AAAA&#10;OQAAABAAAAAAAAAAAQAgAAAABwEAAGRycy9zaGFwZXhtbC54bWxQSwUGAAAAAAYABgBbAQAAsQMA&#10;AAAA&#10;" adj="19542,5400">
                <v:path/>
                <v:fill on="t" color2="#FFFFFF" focussize="0,0"/>
                <v:stroke weight="2pt" color="#000000" joinstyle="round"/>
                <v:imagedata o:title=""/>
                <o:lock v:ext="edit" aspectratio="f"/>
              </v:shape>
              <v:shape id="文本框 33" o:spid="_x0000_s2428" o:spt="202" type="#_x0000_t202" style="position:absolute;left:4967289;top:3523244;height:248555;width:2898646;"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密闭式吸尘罩（各产尘点）及输送风道</w:t>
                      </w:r>
                    </w:p>
                  </w:txbxContent>
                </v:textbox>
              </v:shape>
              <v:shape id="文本框 34" o:spid="_x0000_s2429" o:spt="202" type="#_x0000_t202" style="position:absolute;left:6445130;top:2982463;height:467287;width:1814742;" filled="f" stroked="f" coordsize="21600,21600" o:gfxdata="UEsDBAoAAAAAAIdO4kAAAAAAAAAAAAAAAAAEAAAAZHJzL1BLAwQUAAAACACHTuJAjnLLz7sAAADb&#10;AAAADwAAAGRycy9kb3ducmV2LnhtbEWPwWrDMBBE74X+g9hCb43kl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LLz7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废气（粉尘、甲醛等）</w:t>
                      </w:r>
                    </w:p>
                  </w:txbxContent>
                </v:textbox>
              </v:shape>
              <v:shape id="直接箭头连接符 35" o:spid="_x0000_s2430" o:spt="32" type="#_x0000_t32" style="position:absolute;left:6416612;top:3771799;height:214377;width:1;"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v:shape id="文本框 36" o:spid="_x0000_s2431" o:spt="202" type="#_x0000_t202" style="position:absolute;left:5876787;top:3992025;height:261415;width:973321;"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旋风除尘器</w:t>
                      </w:r>
                    </w:p>
                  </w:txbxContent>
                </v:textbox>
              </v:shape>
              <v:shape id="直接箭头连接符 37" o:spid="_x0000_s2432" o:spt="32" type="#_x0000_t32" style="position:absolute;left:6839575;top:4102924;flip:y;height:2206;width:205197;"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38" o:spid="_x0000_s2433" o:spt="202" type="#_x0000_t202" style="position:absolute;left:7043346;top:3985229;height:292735;width:947795;"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布袋除尘器</w:t>
                      </w:r>
                    </w:p>
                  </w:txbxContent>
                </v:textbox>
              </v:shape>
              <v:shape id="直接箭头连接符 39" o:spid="_x0000_s2434" o:spt="32" type="#_x0000_t32" style="position:absolute;left:7991141;top:4100718;flip:y;height:2206;width:205197;" filled="f" stroked="t" coordsize="21600,21600" o:gfxdata="UEsDBAoAAAAAAIdO4kAAAAAAAAAAAAAAAAAEAAAAZHJzL1BLAwQUAAAACACHTuJAmE6TSbsAAADb&#10;AAAADwAAAGRycy9kb3ducmV2LnhtbEVPy2rCQBTdF/oPwy24KWZis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6TSbsAAADb&#10;AAAADwAAAAAAAAABACAAAAAiAAAAZHJzL2Rvd25yZXYueG1sUEsBAhQAFAAAAAgAh07iQDMvBZ47&#10;AAAAOQAAABAAAAAAAAAAAQAgAAAACgEAAGRycy9zaGFwZXhtbC54bWxQSwUGAAAAAAYABgBbAQAA&#10;tAMAAAAA&#10;">
                <v:path arrowok="t"/>
                <v:fill on="f" focussize="0,0"/>
                <v:stroke color="#000000" joinstyle="round" endarrow="block"/>
                <v:imagedata o:title=""/>
                <o:lock v:ext="edit" aspectratio="f"/>
              </v:shape>
              <v:shape id="文本框 16" o:spid="_x0000_s2463" o:spt="202" type="#_x0000_t202" style="position:absolute;left:8204695;top:3985229;height:284866;width:732815;"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引风机</w:t>
                      </w:r>
                    </w:p>
                  </w:txbxContent>
                </v:textbox>
              </v:shape>
              <v:shape id="文本框 41" o:spid="_x0000_s2464" o:spt="202" type="#_x0000_t202" style="position:absolute;left:8056167;top:3328687;height:467287;width:904831;" filled="f" stroked="f" coordsize="21600,21600" o:gfxdata="UEsDBAoAAAAAAIdO4kAAAAAAAAAAAAAAAAAEAAAAZHJzL1BLAwQUAAAACACHTuJAWZ0gxrsAAADb&#10;AAAADwAAAGRycy9kb3ducmV2LnhtbEWPzWrDMBCE74G+g9hCb7Hk0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xr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排空</w:t>
                      </w:r>
                      <w:r>
                        <w:rPr>
                          <w:rFonts w:hint="eastAsia" w:ascii="Calibri" w:hAnsi="Times New Roman" w:eastAsia="仿宋"/>
                          <w:color w:val="000000" w:themeColor="text1"/>
                          <w:kern w:val="2"/>
                          <w:sz w:val="24"/>
                          <w:szCs w:val="24"/>
                          <w:lang w:val="en-US" w:eastAsia="zh-CN"/>
                        </w:rPr>
                        <w:t>1</w:t>
                      </w:r>
                      <w:r>
                        <w:rPr>
                          <w:rFonts w:ascii="Calibri" w:hAnsi="Times New Roman" w:eastAsia="仿宋"/>
                          <w:color w:val="000000" w:themeColor="text1"/>
                          <w:kern w:val="2"/>
                          <w:sz w:val="24"/>
                          <w:szCs w:val="24"/>
                        </w:rPr>
                        <w:t>5m</w:t>
                      </w:r>
                    </w:p>
                  </w:txbxContent>
                </v:textbox>
              </v:shape>
              <v:shape id="直接箭头连接符 42" o:spid="_x0000_s2465" o:spt="32" type="#_x0000_t32" style="position:absolute;left:5659688;top:4105130;flip:y;height:2206;width:205197;" filled="f" stroked="t" coordsize="21600,21600" o:gfxdata="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GszW/&#10;AAAA2wAAAA8AAAAAAAAAAQAgAAAAIgAAAGRycy9kb3ducmV2LnhtbFBLAQIUABQAAAAIAIdO4kAz&#10;LwWeOwAAADkAAAAQAAAAAAAAAAEAIAAAAA4BAABkcnMvc2hhcGV4bWwueG1sUEsFBgAAAAAGAAYA&#10;WwEAALgDAAAAAA==&#10;">
                <v:path arrowok="t"/>
                <v:fill on="f" focussize="0,0"/>
                <v:stroke color="#000000" joinstyle="round" startarrow="block"/>
                <v:imagedata o:title=""/>
                <o:lock v:ext="edit" aspectratio="f"/>
              </v:shape>
              <v:shape id="文本框 16" o:spid="_x0000_s2466" o:spt="202" type="#_x0000_t202" style="position:absolute;left:4976292;top:3985229;height:292735;width:695298;"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贮尘室</w:t>
                      </w:r>
                    </w:p>
                  </w:txbxContent>
                </v:textbox>
              </v:shape>
              <v:shape id="直接箭头连接符 44" o:spid="_x0000_s2467" o:spt="32" type="#_x0000_t32" style="position:absolute;left:4794762;top:4131596;flip:y;height:2206;width:205197;" filled="f" stroked="t" coordsize="21600,21600" o:gfxdata="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jjtq/&#10;AAAA2wAAAA8AAAAAAAAAAQAgAAAAIgAAAGRycy9kb3ducmV2LnhtbFBLAQIUABQAAAAIAIdO4kAz&#10;LwWeOwAAADkAAAAQAAAAAAAAAAEAIAAAAA4BAABkcnMvc2hhcGV4bWwueG1sUEsFBgAAAAAGAAYA&#10;WwEAALgDAAAAAA==&#10;">
                <v:path arrowok="t"/>
                <v:fill on="f" focussize="0,0"/>
                <v:stroke color="#000000" joinstyle="round" startarrow="block"/>
                <v:imagedata o:title=""/>
                <o:lock v:ext="edit" aspectratio="f"/>
              </v:shape>
              <v:shape id="文本框 45" o:spid="_x0000_s2468" o:spt="202" type="#_x0000_t202" style="position:absolute;left:3780407;top:3995547;height:467287;width:1186757;" filled="f" stroked="f" coordsize="21600,21600" o:gfxdata="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Ymxb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作为燃料燃烧</w:t>
                      </w:r>
                    </w:p>
                  </w:txbxContent>
                </v:textbox>
              </v:shape>
              <v:line id="直接连接符 46" o:spid="_x0000_s2469" o:spt="20" style="position:absolute;left:5762286;top:3847725;flip:x;height:557148;width:22596;" filled="f" stroked="t" coordsize="21600,21600" o:gfxdata="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jE6bsAAADb&#10;AAAADwAAAAAAAAABACAAAAAiAAAAZHJzL2Rvd25yZXYueG1sUEsBAhQAFAAAAAgAh07iQDMvBZ47&#10;AAAAOQAAABAAAAAAAAAAAQAgAAAACgEAAGRycy9zaGFwZXhtbC54bWxQSwUGAAAAAAYABgBbAQAA&#10;tAMAAAAA&#10;">
                <v:path arrowok="t"/>
                <v:fill on="f" focussize="0,0"/>
                <v:stroke color="#000000" joinstyle="round" dashstyle="3 1"/>
                <v:imagedata o:title=""/>
                <o:lock v:ext="edit" aspectratio="f"/>
              </v:line>
              <v:line id="直接连接符 47" o:spid="_x0000_s2470" o:spt="20" style="position:absolute;left:5784882;top:3847725;height:0;width:2306711;" filled="f" stroked="t" coordsize="21600,21600" o:gfxdata="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lRF9ugAAANsA&#10;AAAPAAAAAAAAAAEAIAAAACIAAABkcnMvZG93bnJldi54bWxQSwECFAAUAAAACACHTuJAMy8FnjsA&#10;AAA5AAAAEAAAAAAAAAABACAAAAAJAQAAZHJzL3NoYXBleG1sLnhtbFBLBQYAAAAABgAGAFsBAACz&#10;AwAAAAA=&#10;">
                <v:path arrowok="t"/>
                <v:fill on="f" focussize="0,0"/>
                <v:stroke color="#000000" joinstyle="round" dashstyle="3 1"/>
                <v:imagedata o:title=""/>
                <o:lock v:ext="edit" aspectratio="f"/>
              </v:line>
              <v:line id="直接连接符 48" o:spid="_x0000_s2471" o:spt="20" style="position:absolute;left:5762286;top:4405293;height:0;width:2292311;" filled="f" stroked="t" coordsize="21600,21600" o:gfxdata="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m05r4A&#10;AADbAAAADwAAAAAAAAABACAAAAAiAAAAZHJzL2Rvd25yZXYueG1sUEsBAhQAFAAAAAgAh07iQDMv&#10;BZ47AAAAOQAAABAAAAAAAAAAAQAgAAAADQEAAGRycy9zaGFwZXhtbC54bWxQSwUGAAAAAAYABgBb&#10;AQAAtwMAAAAA&#10;">
                <v:path arrowok="t"/>
                <v:fill on="f" focussize="0,0"/>
                <v:stroke color="#000000" joinstyle="round" dashstyle="3 1"/>
                <v:imagedata o:title=""/>
                <o:lock v:ext="edit" aspectratio="f"/>
              </v:line>
              <v:line id="直接连接符 49" o:spid="_x0000_s2472" o:spt="20" style="position:absolute;left:8054597;top:3847725;height:557568;width:4908;" filled="f" stroked="t" coordsize="21600,21600" o:gfxdata="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OoumugAAANsA&#10;AAAPAAAAAAAAAAEAIAAAACIAAABkcnMvZG93bnJldi54bWxQSwECFAAUAAAACACHTuJAMy8FnjsA&#10;AAA5AAAAEAAAAAAAAAABACAAAAAJAQAAZHJzL3NoYXBleG1sLnhtbFBLBQYAAAAABgAGAFsBAACz&#10;AwAAAAA=&#10;">
                <v:path arrowok="t"/>
                <v:fill on="f" focussize="0,0"/>
                <v:stroke color="#000000" joinstyle="round" dashstyle="3 1"/>
                <v:imagedata o:title=""/>
                <o:lock v:ext="edit" aspectratio="f"/>
              </v:line>
              <v:shape id="直接箭头连接符 50" o:spid="_x0000_s2473" o:spt="32" type="#_x0000_t32" style="position:absolute;left:8569094;top:3547469;flip:x y;height:437760;width:2009;" filled="f" stroked="t" coordsize="21600,21600" o:gfxdata="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jlKvQAA&#10;ANs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shape>
            </v:group>
            <v:line id="直接连接符 54" o:spid="_x0000_s2475" o:spt="20" style="position:absolute;left:6034;top:1857;height:1882;width:0;" filled="f" stroked="t" coordsize="21600,21600" o:gfxdata="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0oPr4A&#10;AADbAAAADwAAAAAAAAABACAAAAAiAAAAZHJzL2Rvd25yZXYueG1sUEsBAhQAFAAAAAgAh07iQDMv&#10;BZ47AAAAOQAAABAAAAAAAAAAAQAgAAAADQEAAGRycy9zaGFwZXhtbC54bWxQSwUGAAAAAAYABgBb&#10;AQAAtwMAAAAA&#10;">
              <v:path arrowok="t"/>
              <v:fill on="f" focussize="0,0"/>
              <v:stroke color="#000000" joinstyle="round" dashstyle="3 1"/>
              <v:imagedata o:title=""/>
              <o:lock v:ext="edit" aspectratio="f"/>
            </v:line>
            <v:line id="直接连接符 56" o:spid="_x0000_s2476" o:spt="20" style="position:absolute;left:6051;top:1858;height:6;width:7391;" filled="f" stroked="t" coordsize="21600,21600" o:gfxdata="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0xPSvQAA&#10;ANsAAAAPAAAAAAAAAAEAIAAAACIAAABkcnMvZG93bnJldi54bWxQSwECFAAUAAAACACHTuJAMy8F&#10;njsAAAA5AAAAEAAAAAAAAAABACAAAAAMAQAAZHJzL3NoYXBleG1sLnhtbFBLBQYAAAAABgAGAFsB&#10;AAC2AwAAAAA=&#10;">
              <v:path arrowok="t"/>
              <v:fill on="f" focussize="0,0"/>
              <v:stroke color="#000000" joinstyle="round" dashstyle="3 1"/>
              <v:imagedata o:title=""/>
              <o:lock v:ext="edit" aspectratio="f"/>
            </v:line>
            <v:line id="直接连接符 58" o:spid="_x0000_s2477" o:spt="20" style="position:absolute;left:13442;top:1856;flip:x;height:1842;width:2;" filled="f" stroked="t" coordsize="21600,21600" o:gfxdata="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Jj3bsAAADb&#10;AAAADwAAAAAAAAABACAAAAAiAAAAZHJzL2Rvd25yZXYueG1sUEsBAhQAFAAAAAgAh07iQDMvBZ47&#10;AAAAOQAAABAAAAAAAAAAAQAgAAAACgEAAGRycy9zaGFwZXhtbC54bWxQSwUGAAAAAAYABgBbAQAA&#10;tAMAAAAA&#10;">
              <v:path arrowok="t"/>
              <v:fill on="f" focussize="0,0"/>
              <v:stroke color="#000000" joinstyle="round" dashstyle="3 1"/>
              <v:imagedata o:title=""/>
              <o:lock v:ext="edit" aspectratio="f"/>
            </v:line>
            <v:line id="直接连接符 60" o:spid="_x0000_s2478" o:spt="20" style="position:absolute;left:6034;top:3721;flip:y;height:18;width:7408;" filled="f" stroked="t" coordsize="21600,21600" o:gfxdata="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iKVmugAAANsA&#10;AAAPAAAAAAAAAAEAIAAAACIAAABkcnMvZG93bnJldi54bWxQSwECFAAUAAAACACHTuJAMy8FnjsA&#10;AAA5AAAAEAAAAAAAAAABACAAAAAJAQAAZHJzL3NoYXBleG1sLnhtbFBLBQYAAAAABgAGAFsBAACz&#10;AwAAAAA=&#10;">
              <v:path arrowok="t"/>
              <v:fill on="f" focussize="0,0"/>
              <v:stroke color="#000000" joinstyle="round" dashstyle="3 1"/>
              <v:imagedata o:title=""/>
              <o:lock v:ext="edit" aspectratio="f"/>
            </v:line>
            <v:shape id="文本框 63" o:spid="_x0000_s2479" o:spt="202" type="#_x0000_t202" style="position:absolute;left:6399;top:6603;height:1048;width:6111;" filled="f" stroked="f" coordsize="21600,21600" o:gfxdata="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1BSb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仿宋" w:eastAsia="仿宋" w:hAnsiTheme="minorBidi"/>
                        <w:b/>
                        <w:color w:val="000000" w:themeColor="text1"/>
                        <w:kern w:val="24"/>
                        <w:sz w:val="28"/>
                        <w:szCs w:val="28"/>
                      </w:rPr>
                      <w:t>图2.2-3  地板加工生产工艺流程及产污环节图</w:t>
                    </w:r>
                  </w:p>
                </w:txbxContent>
              </v:textbox>
            </v:shape>
            <w10:wrap type="none"/>
            <w10:anchorlock/>
          </v:group>
        </w:pic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工艺说明：</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①自动进料：将加工好并堆存陈化后的贴面板，用叉车成垛叉至地板加工线进料端的自动进料台上自动进料。</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②多片锯开料、自动翻转：自动进料台将贴面板逐张推入多锯片开料机，一次性开出地板坯料，开料后并自动翻转。</w:t>
      </w:r>
    </w:p>
    <w:p>
      <w:pPr>
        <w:pStyle w:val="41"/>
        <w:numPr>
          <w:ilvl w:val="0"/>
          <w:numId w:val="1"/>
        </w:numPr>
        <w:spacing w:line="360" w:lineRule="auto"/>
        <w:ind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开纵榫槽</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封蜡</w:t>
      </w:r>
      <w:r>
        <w:rPr>
          <w:rFonts w:hint="eastAsia" w:asciiTheme="minorEastAsia" w:hAnsiTheme="minorEastAsia" w:eastAsiaTheme="minorEastAsia" w:cstheme="minorEastAsia"/>
          <w:sz w:val="28"/>
          <w:szCs w:val="28"/>
        </w:rPr>
        <w:t>：地板坯料通过纵铣机先开纵向榫及榫槽</w:t>
      </w:r>
      <w:r>
        <w:rPr>
          <w:rFonts w:hint="eastAsia" w:asciiTheme="minorEastAsia" w:hAnsiTheme="minorEastAsia" w:eastAsiaTheme="minorEastAsia" w:cstheme="minorEastAsia"/>
          <w:sz w:val="28"/>
          <w:szCs w:val="28"/>
          <w:lang w:val="en-US" w:eastAsia="zh-CN"/>
        </w:rPr>
        <w:t>并封蜡</w:t>
      </w:r>
      <w:r>
        <w:rPr>
          <w:rFonts w:hint="eastAsia" w:asciiTheme="minorEastAsia" w:hAnsiTheme="minorEastAsia" w:eastAsiaTheme="minorEastAsia" w:cstheme="minorEastAsia"/>
          <w:sz w:val="28"/>
          <w:szCs w:val="28"/>
        </w:rPr>
        <w:t>。</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④双端铣开横榫槽：开过纵向榫及榫槽的地板坯料经中间传送带进入双端铣开横向榫及榫槽。</w:t>
      </w:r>
    </w:p>
    <w:p>
      <w:pPr>
        <w:pStyle w:val="41"/>
        <w:numPr>
          <w:ilvl w:val="0"/>
          <w:numId w:val="2"/>
        </w:numPr>
        <w:spacing w:line="360" w:lineRule="auto"/>
        <w:ind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翻转检验：开榫结束后，自动翻转检验。</w:t>
      </w:r>
    </w:p>
    <w:p>
      <w:pPr>
        <w:pStyle w:val="41"/>
        <w:spacing w:line="360" w:lineRule="auto"/>
        <w:ind w:left="280"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⑥堆叠成垛、包装、收缩薄膜覆包：将检验后的产品堆叠成垛，包装并收缩薄膜覆包，将成品保存入库。</w:t>
      </w:r>
    </w:p>
    <w:p>
      <w:pPr>
        <w:pStyle w:val="32"/>
        <w:spacing w:before="156" w:after="156"/>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2.2.1.</w:t>
      </w:r>
      <w:r>
        <w:rPr>
          <w:rFonts w:hint="eastAsia" w:asciiTheme="minorEastAsia" w:hAnsiTheme="minorEastAsia" w:eastAsiaTheme="minorEastAsia" w:cstheme="minorEastAsia"/>
          <w:lang w:val="en-US"/>
        </w:rPr>
        <w:t>4热油炉供热系统</w:t>
      </w:r>
      <w:r>
        <w:rPr>
          <w:rFonts w:hint="eastAsia" w:asciiTheme="minorEastAsia" w:hAnsiTheme="minorEastAsia" w:eastAsiaTheme="minorEastAsia" w:cstheme="minorEastAsia"/>
        </w:rPr>
        <w:t>工艺流程</w:t>
      </w:r>
    </w:p>
    <w:p>
      <w:pPr>
        <w:pStyle w:val="41"/>
        <w:spacing w:line="360" w:lineRule="auto"/>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pict>
          <v:group id="组合 29" o:spid="_x0000_s2192" o:spt="203" style="height:192.45pt;width:405.3pt;" coordsize="51475,24443">
            <o:lock v:ext="edit"/>
            <v:group id="_x0000_s2193" o:spid="_x0000_s2193" o:spt="203" style="position:absolute;left:0;top:0;height:15443;width:51475;" coordsize="51475,15443">
              <o:lock v:ext="edit"/>
              <v:shape id="文本框 16" o:spid="_x0000_s2194" o:spt="202" type="#_x0000_t202" style="position:absolute;left:0;top:0;height:2848;width:732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热用户</w:t>
                      </w:r>
                    </w:p>
                  </w:txbxContent>
                </v:textbox>
              </v:shape>
              <v:shape id="_x0000_s2195" o:spid="_x0000_s2195" o:spt="32" type="#_x0000_t32" style="position:absolute;left:3664;top:2848;flip:x;height:2769;width:0;" filled="f" coordsize="21600,21600">
                <v:path arrowok="t"/>
                <v:fill on="f" focussize="0,0"/>
                <v:stroke weight="0.5pt" joinstyle="miter" endarrow="block"/>
                <v:imagedata o:title=""/>
                <o:lock v:ext="edit"/>
              </v:shape>
              <v:shape id="文本框 16" o:spid="_x0000_s2196" o:spt="202" type="#_x0000_t202" style="position:absolute;left:0;top:5617;height:2849;width:732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热油泵</w:t>
                      </w:r>
                    </w:p>
                  </w:txbxContent>
                </v:textbox>
              </v:shape>
              <v:shape id="_x0000_s2197" o:spid="_x0000_s2197" o:spt="32" type="#_x0000_t32" style="position:absolute;left:7328;top:7060;flip:y;height:22;width:2052;" filled="f" coordsize="21600,21600">
                <v:path arrowok="t"/>
                <v:fill on="f" focussize="0,0"/>
                <v:stroke weight="0.5pt" joinstyle="miter" endarrow="block"/>
                <v:imagedata o:title=""/>
                <o:lock v:ext="edit"/>
              </v:shape>
              <v:shape id="文本框 16" o:spid="_x0000_s2198" o:spt="202" type="#_x0000_t202" style="position:absolute;left:9380;top:5617;height:2849;width:732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热油炉</w:t>
                      </w:r>
                    </w:p>
                  </w:txbxContent>
                </v:textbox>
              </v:shape>
              <v:shape id="_x0000_s2199" o:spid="_x0000_s2199" o:spt="32" type="#_x0000_t32" style="position:absolute;left:16708;top:7019;flip:y;height:23;width:2052;" filled="f" coordsize="21600,21600">
                <v:path arrowok="t"/>
                <v:fill on="f" focussize="0,0"/>
                <v:stroke weight="0.5pt" joinstyle="miter" endarrow="block"/>
                <v:imagedata o:title=""/>
                <o:lock v:ext="edit"/>
              </v:shape>
              <v:shape id="文本框 16" o:spid="_x0000_s2200" o:spt="202" type="#_x0000_t202" style="position:absolute;left:18760;top:5595;height:2871;width:9662;"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空气预热器</w:t>
                      </w:r>
                    </w:p>
                  </w:txbxContent>
                </v:textbox>
              </v:shape>
              <v:shape id="_x0000_s2201" o:spid="_x0000_s2201" o:spt="32" type="#_x0000_t32" style="position:absolute;left:28422;top:7019;flip:y;height:23;width:2052;" filled="f" coordsize="21600,21600">
                <v:path arrowok="t"/>
                <v:fill on="f" focussize="0,0"/>
                <v:stroke weight="0.5pt" joinstyle="miter" endarrow="block"/>
                <v:imagedata o:title=""/>
                <o:lock v:ext="edit"/>
              </v:shape>
              <v:shape id="文本框 16" o:spid="_x0000_s2202" o:spt="202" type="#_x0000_t202" style="position:absolute;left:30682;top:5595;height:2871;width:9663;"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旋风除尘器</w:t>
                      </w:r>
                    </w:p>
                  </w:txbxContent>
                </v:textbox>
              </v:shape>
              <v:shape id="文本框 16" o:spid="_x0000_s2203" o:spt="202" type="#_x0000_t202" style="position:absolute;left:42397;top:5617;height:2849;width:732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引风机</w:t>
                      </w:r>
                    </w:p>
                  </w:txbxContent>
                </v:textbox>
              </v:shape>
              <v:shape id="_x0000_s2204" o:spid="_x0000_s2204" o:spt="32" type="#_x0000_t32" style="position:absolute;left:40345;top:7019;flip:y;height:23;width:2052;" filled="f" coordsize="21600,21600">
                <v:path arrowok="t"/>
                <v:fill on="f" focussize="0,0"/>
                <v:stroke weight="0.5pt" joinstyle="miter" endarrow="block"/>
                <v:imagedata o:title=""/>
                <o:lock v:ext="edit"/>
              </v:shape>
              <v:shape id="_x0000_s2205" o:spid="_x0000_s2205" o:spt="32" type="#_x0000_t32" style="position:absolute;left:23030;top:2826;flip:x;height:2769;width:0;" filled="f" coordsize="21600,21600">
                <v:path arrowok="t"/>
                <v:fill on="f" focussize="0,0"/>
                <v:stroke weight="0.5pt" joinstyle="miter" endarrow="block"/>
                <v:imagedata o:title=""/>
                <o:lock v:ext="edit"/>
              </v:shape>
              <v:shape id="_x0000_s2206" o:spid="_x0000_s2206" o:spt="202" type="#_x0000_t202" style="position:absolute;left:19366;top:125;height:2848;width:7328;"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鼓风机</w:t>
                      </w:r>
                    </w:p>
                  </w:txbxContent>
                </v:textbox>
              </v:shape>
              <v:shape id="_x0000_s2207" o:spid="_x0000_s2207" o:spt="32" type="#_x0000_t32" style="position:absolute;left:46061;top:2826;flip:x y;height:2769;width:0;" filled="f" coordsize="21600,21600">
                <v:path arrowok="t"/>
                <v:fill on="f" focussize="0,0"/>
                <v:stroke weight="0.5pt" joinstyle="miter" endarrow="block"/>
                <v:imagedata o:title=""/>
                <o:lock v:ext="edit"/>
              </v:shape>
              <v:shape id="_x0000_s2208" o:spid="_x0000_s2208" o:spt="202" type="#_x0000_t202" style="position:absolute;left:42394;top:0;height:2895;width:9081;"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Calibri" w:hAnsi="仿宋" w:eastAsia="仿宋" w:cs="Times New Roman"/>
                          <w:color w:val="000000"/>
                          <w:kern w:val="2"/>
                        </w:rPr>
                        <w:t>排空</w:t>
                      </w:r>
                      <w:r>
                        <w:rPr>
                          <w:rFonts w:hint="eastAsia" w:ascii="仿宋" w:hAnsi="仿宋" w:eastAsia="仿宋" w:cs="Times New Roman"/>
                          <w:color w:val="000000"/>
                          <w:kern w:val="2"/>
                          <w:lang w:val="en-US" w:eastAsia="zh-CN"/>
                        </w:rPr>
                        <w:t>20</w:t>
                      </w:r>
                      <w:r>
                        <w:rPr>
                          <w:rFonts w:ascii="仿宋" w:hAnsi="仿宋" w:eastAsia="仿宋" w:cs="Times New Roman"/>
                          <w:color w:val="000000"/>
                          <w:kern w:val="2"/>
                        </w:rPr>
                        <w:t>m</w:t>
                      </w:r>
                    </w:p>
                  </w:txbxContent>
                </v:textbox>
              </v:shape>
              <v:shape id="文本框 16" o:spid="_x0000_s2209" o:spt="202" type="#_x0000_t202" style="position:absolute;left:0;top:12625;height:2818;width:9380;" coordsize="21600,21600">
                <v:path/>
                <v:fill focussize="0,0"/>
                <v:stroke joinstyle="miter"/>
                <v:imagedata o:title=""/>
                <o:lock v:ext="edit"/>
                <v:textbox>
                  <w:txbxContent>
                    <w:p>
                      <w:pPr>
                        <w:pStyle w:val="15"/>
                        <w:spacing w:before="0" w:beforeAutospacing="0" w:after="0" w:afterAutospacing="0"/>
                        <w:jc w:val="center"/>
                      </w:pPr>
                      <w:r>
                        <w:rPr>
                          <w:rFonts w:hint="eastAsia" w:ascii="Calibri" w:hAnsi="仿宋" w:eastAsia="仿宋" w:cs="Times New Roman"/>
                          <w:color w:val="000000"/>
                          <w:kern w:val="2"/>
                        </w:rPr>
                        <w:t>木质废料</w:t>
                      </w:r>
                    </w:p>
                  </w:txbxContent>
                </v:textbox>
              </v:shape>
              <v:line id="_x0000_s2210" o:spid="_x0000_s2210" o:spt="20" style="position:absolute;left:9380;top:14027;flip:y;height:7;width:3459;" coordsize="21600,21600">
                <v:path arrowok="t"/>
                <v:fill focussize="0,0"/>
                <v:stroke weight="0.5pt" joinstyle="miter"/>
                <v:imagedata o:title=""/>
                <o:lock v:ext="edit"/>
              </v:line>
              <v:shape id="_x0000_s2211" o:spid="_x0000_s2211" o:spt="32" type="#_x0000_t32" style="position:absolute;left:12839;top:8466;flip:y;height:5561;width:0;" filled="f" coordsize="21600,21600">
                <v:path arrowok="t"/>
                <v:fill on="f" focussize="0,0"/>
                <v:stroke weight="0.5pt" joinstyle="miter" endarrow="block"/>
                <v:imagedata o:title=""/>
                <o:lock v:ext="edit"/>
              </v:shape>
            </v:group>
            <v:shape id="文本框 28" o:spid="_x0000_s2212" o:spt="202" type="#_x0000_t202" style="position:absolute;left:7327;top:19566;height:4877;width:37535;" filled="f" stroked="f" coordsize="21600,21600">
              <v:path/>
              <v:fill on="f" focussize="0,0"/>
              <v:stroke on="f" joinstyle="miter"/>
              <v:imagedata o:title=""/>
              <o:lock v:ext="edit"/>
              <v:textbox style="mso-fit-shape-to-text:t;">
                <w:txbxContent>
                  <w:p>
                    <w:pPr>
                      <w:pStyle w:val="15"/>
                      <w:spacing w:before="0" w:beforeAutospacing="0" w:after="0" w:afterAutospacing="0"/>
                    </w:pPr>
                    <w:r>
                      <w:rPr>
                        <w:rFonts w:hint="eastAsia" w:ascii="仿宋" w:hAnsi="仿宋" w:eastAsia="仿宋" w:cs="Times New Roman"/>
                        <w:b/>
                        <w:bCs/>
                        <w:color w:val="000000"/>
                        <w:kern w:val="24"/>
                        <w:sz w:val="28"/>
                        <w:szCs w:val="28"/>
                      </w:rPr>
                      <w:t>图</w:t>
                    </w:r>
                    <w:r>
                      <w:rPr>
                        <w:rFonts w:ascii="仿宋" w:hAnsi="仿宋" w:eastAsia="仿宋" w:cs="Times New Roman"/>
                        <w:b/>
                        <w:bCs/>
                        <w:color w:val="000000"/>
                        <w:kern w:val="24"/>
                        <w:sz w:val="28"/>
                        <w:szCs w:val="28"/>
                      </w:rPr>
                      <w:t xml:space="preserve">2.2-4    </w:t>
                    </w:r>
                    <w:r>
                      <w:rPr>
                        <w:rFonts w:hint="eastAsia" w:ascii="仿宋" w:hAnsi="仿宋" w:eastAsia="仿宋" w:cs="Times New Roman"/>
                        <w:b/>
                        <w:bCs/>
                        <w:color w:val="000000"/>
                        <w:kern w:val="24"/>
                        <w:sz w:val="28"/>
                        <w:szCs w:val="28"/>
                      </w:rPr>
                      <w:t>热油炉供热系统工艺流程图</w:t>
                    </w:r>
                  </w:p>
                </w:txbxContent>
              </v:textbox>
            </v:shape>
            <w10:wrap type="none"/>
            <w10:anchorlock/>
          </v:group>
        </w:pict>
      </w:r>
    </w:p>
    <w:p>
      <w:pPr>
        <w:pStyle w:val="32"/>
        <w:spacing w:before="156" w:after="156"/>
        <w:rPr>
          <w:rFonts w:hint="eastAsia" w:asciiTheme="minorEastAsia" w:hAnsiTheme="minorEastAsia" w:eastAsiaTheme="minorEastAsia" w:cstheme="minorEastAsia"/>
        </w:rPr>
      </w:pPr>
      <w:bookmarkStart w:id="37" w:name="_Toc224440866"/>
      <w:bookmarkStart w:id="38" w:name="_Toc146436348"/>
      <w:r>
        <w:rPr>
          <w:rFonts w:hint="eastAsia" w:asciiTheme="minorEastAsia" w:hAnsiTheme="minorEastAsia" w:eastAsiaTheme="minorEastAsia" w:cstheme="minorEastAsia"/>
        </w:rPr>
        <w:t>2.2.2产污分析</w:t>
      </w:r>
      <w:bookmarkEnd w:id="37"/>
      <w:bookmarkEnd w:id="38"/>
    </w:p>
    <w:p>
      <w:pPr>
        <w:pStyle w:val="32"/>
        <w:spacing w:before="156" w:after="156"/>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2.2.2.1废气</w:t>
      </w:r>
    </w:p>
    <w:p>
      <w:pPr>
        <w:pStyle w:val="41"/>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本项目正常营运期间，废气主要有木加工粉尘</w:t>
      </w:r>
      <w:r>
        <w:rPr>
          <w:rFonts w:hint="eastAsia" w:asciiTheme="minorEastAsia" w:hAnsiTheme="minorEastAsia" w:eastAsiaTheme="minorEastAsia" w:cstheme="minorEastAsia"/>
          <w:sz w:val="28"/>
          <w:szCs w:val="28"/>
          <w:lang w:val="en-US" w:eastAsia="zh-CN"/>
        </w:rPr>
        <w:t>G1</w:t>
      </w:r>
      <w:r>
        <w:rPr>
          <w:rFonts w:hint="eastAsia" w:asciiTheme="minorEastAsia" w:hAnsiTheme="minorEastAsia" w:eastAsiaTheme="minorEastAsia" w:cstheme="minorEastAsia"/>
          <w:sz w:val="28"/>
          <w:szCs w:val="28"/>
        </w:rPr>
        <w:t>、甲醛</w:t>
      </w:r>
      <w:r>
        <w:rPr>
          <w:rFonts w:hint="eastAsia" w:asciiTheme="minorEastAsia" w:hAnsiTheme="minorEastAsia" w:eastAsiaTheme="minorEastAsia" w:cstheme="minorEastAsia"/>
          <w:sz w:val="28"/>
          <w:szCs w:val="28"/>
          <w:lang w:val="en-US" w:eastAsia="zh-CN"/>
        </w:rPr>
        <w:t>G2</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封蜡废气G3、</w:t>
      </w:r>
      <w:r>
        <w:rPr>
          <w:rFonts w:hint="eastAsia" w:asciiTheme="minorEastAsia" w:hAnsiTheme="minorEastAsia" w:eastAsiaTheme="minorEastAsia" w:cstheme="minorEastAsia"/>
          <w:sz w:val="28"/>
          <w:szCs w:val="28"/>
        </w:rPr>
        <w:t>导热油炉产生的烟尘废气</w:t>
      </w:r>
      <w:r>
        <w:rPr>
          <w:rFonts w:hint="eastAsia" w:asciiTheme="minorEastAsia" w:hAnsiTheme="minorEastAsia" w:eastAsiaTheme="minorEastAsia" w:cstheme="minorEastAsia"/>
          <w:sz w:val="28"/>
          <w:szCs w:val="28"/>
          <w:lang w:val="en-US" w:eastAsia="zh-CN"/>
        </w:rPr>
        <w:t>G4</w:t>
      </w:r>
      <w:r>
        <w:rPr>
          <w:rFonts w:hint="eastAsia" w:asciiTheme="minorEastAsia" w:hAnsiTheme="minorEastAsia" w:eastAsiaTheme="minorEastAsia" w:cstheme="minorEastAsia"/>
          <w:sz w:val="28"/>
          <w:szCs w:val="28"/>
        </w:rPr>
        <w:t>。</w:t>
      </w:r>
    </w:p>
    <w:p>
      <w:pPr>
        <w:numPr>
          <w:ilvl w:val="0"/>
          <w:numId w:val="3"/>
        </w:num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木加工粉尘</w:t>
      </w:r>
      <w:r>
        <w:rPr>
          <w:rFonts w:hint="eastAsia" w:asciiTheme="minorEastAsia" w:hAnsiTheme="minorEastAsia" w:eastAsiaTheme="minorEastAsia" w:cstheme="minorEastAsia"/>
          <w:sz w:val="28"/>
          <w:szCs w:val="28"/>
          <w:lang w:val="en-US" w:eastAsia="zh-CN"/>
        </w:rPr>
        <w:t>G1</w:t>
      </w:r>
    </w:p>
    <w:p>
      <w:pPr>
        <w:pStyle w:val="46"/>
        <w:spacing w:line="360" w:lineRule="auto"/>
        <w:ind w:firstLine="56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8"/>
          <w:szCs w:val="28"/>
        </w:rPr>
        <w:t>木加工粉尘主要产生于锯料、开榫、清灰等工段，该粉尘经集气吸尘罩收集后通过高效旋风分离器及脉冲式布袋除尘器集中处理后通过2根15m高的排气筒高空排放。其中大部分粉尘收集在布袋里，去除率可达99.8%以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（本次按99.5%核算）</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。该粉尘废气最终排放量为7.15t/a，</w:t>
      </w:r>
      <w:r>
        <w:rPr>
          <w:rFonts w:hint="eastAsia" w:asciiTheme="minorEastAsia" w:hAnsiTheme="minorEastAsia" w:eastAsiaTheme="minorEastAsia" w:cstheme="minorEastAsia"/>
          <w:sz w:val="28"/>
          <w:szCs w:val="28"/>
          <w:lang w:val="en-US" w:eastAsia="zh-CN"/>
        </w:rPr>
        <w:t>每根排气筒</w:t>
      </w:r>
      <w:r>
        <w:rPr>
          <w:rFonts w:hint="eastAsia" w:asciiTheme="minorEastAsia" w:hAnsiTheme="minorEastAsia" w:eastAsiaTheme="minorEastAsia" w:cstheme="minorEastAsia"/>
          <w:sz w:val="28"/>
          <w:szCs w:val="28"/>
        </w:rPr>
        <w:t>排放浓度及速率强度为</w:t>
      </w:r>
      <w:r>
        <w:rPr>
          <w:rFonts w:hint="eastAsia" w:asciiTheme="minorEastAsia" w:hAnsiTheme="minorEastAsia" w:eastAsiaTheme="minorEastAsia" w:cstheme="minorEastAsia"/>
          <w:sz w:val="28"/>
          <w:szCs w:val="28"/>
          <w:lang w:val="en-US" w:eastAsia="zh-CN"/>
        </w:rPr>
        <w:t>16.67</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0.50</w:t>
      </w:r>
      <w:r>
        <w:rPr>
          <w:rFonts w:hint="eastAsia" w:asciiTheme="minorEastAsia" w:hAnsiTheme="minorEastAsia" w:eastAsiaTheme="minorEastAsia" w:cstheme="minorEastAsia"/>
          <w:sz w:val="28"/>
          <w:szCs w:val="28"/>
        </w:rPr>
        <w:t>kg/h。</w:t>
      </w:r>
    </w:p>
    <w:p>
      <w:pPr>
        <w:numPr>
          <w:ilvl w:val="0"/>
          <w:numId w:val="3"/>
        </w:num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上胶</w:t>
      </w:r>
      <w:r>
        <w:rPr>
          <w:rFonts w:hint="eastAsia" w:asciiTheme="minorEastAsia" w:hAnsiTheme="minorEastAsia" w:eastAsiaTheme="minorEastAsia" w:cstheme="minorEastAsia"/>
          <w:sz w:val="28"/>
          <w:szCs w:val="28"/>
        </w:rPr>
        <w:t>工段挥发性游离甲醛废气</w:t>
      </w:r>
      <w:r>
        <w:rPr>
          <w:rFonts w:hint="eastAsia" w:asciiTheme="minorEastAsia" w:hAnsiTheme="minorEastAsia" w:eastAsiaTheme="minorEastAsia" w:cstheme="minorEastAsia"/>
          <w:sz w:val="28"/>
          <w:szCs w:val="28"/>
          <w:lang w:val="en-US" w:eastAsia="zh-CN"/>
        </w:rPr>
        <w:t>G2</w:t>
      </w:r>
    </w:p>
    <w:p>
      <w:pPr>
        <w:pStyle w:val="46"/>
        <w:spacing w:line="360" w:lineRule="auto"/>
        <w:ind w:firstLine="56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该项目所用基材（高密度纤维板）均来自该公司大亚木业，其在生产过程中均使用含甲醛</w:t>
      </w:r>
      <w:r>
        <w:rPr>
          <w:rFonts w:hint="eastAsia" w:asciiTheme="minorEastAsia" w:hAnsiTheme="minorEastAsia" w:eastAsiaTheme="minorEastAsia" w:cstheme="minorEastAsia"/>
          <w:sz w:val="28"/>
          <w:szCs w:val="28"/>
          <w:lang w:val="en-US" w:eastAsia="zh-CN"/>
        </w:rPr>
        <w:t>的树脂胶</w:t>
      </w:r>
      <w:r>
        <w:rPr>
          <w:rFonts w:hint="eastAsia" w:asciiTheme="minorEastAsia" w:hAnsiTheme="minorEastAsia" w:eastAsiaTheme="minorEastAsia" w:cstheme="minorEastAsia"/>
          <w:sz w:val="28"/>
          <w:szCs w:val="28"/>
        </w:rPr>
        <w:t>，本项目</w:t>
      </w:r>
      <w:r>
        <w:rPr>
          <w:rFonts w:hint="eastAsia" w:asciiTheme="minorEastAsia" w:hAnsiTheme="minorEastAsia" w:eastAsiaTheme="minorEastAsia" w:cstheme="minorEastAsia"/>
          <w:sz w:val="28"/>
          <w:szCs w:val="28"/>
          <w:lang w:val="en-US" w:eastAsia="zh-CN"/>
        </w:rPr>
        <w:t>上胶</w:t>
      </w:r>
      <w:r>
        <w:rPr>
          <w:rFonts w:hint="eastAsia" w:asciiTheme="minorEastAsia" w:hAnsiTheme="minorEastAsia" w:eastAsiaTheme="minorEastAsia" w:cstheme="minorEastAsia"/>
          <w:sz w:val="28"/>
          <w:szCs w:val="28"/>
        </w:rPr>
        <w:t>工段产生的甲醛废气通过车间收尘除尘系统大流量通风机引出后通过</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根15m高的排气筒高空排放，</w:t>
      </w:r>
      <w:r>
        <w:rPr>
          <w:rFonts w:hint="eastAsia" w:asciiTheme="minorEastAsia" w:hAnsiTheme="minorEastAsia" w:eastAsiaTheme="minorEastAsia" w:cstheme="minorEastAsia"/>
          <w:sz w:val="28"/>
          <w:szCs w:val="28"/>
          <w:lang w:val="en-US" w:eastAsia="zh-CN"/>
        </w:rPr>
        <w:t>根据同类项目类比分析，本项目</w:t>
      </w:r>
      <w:r>
        <w:rPr>
          <w:rFonts w:hint="eastAsia" w:asciiTheme="minorEastAsia" w:hAnsiTheme="minorEastAsia" w:eastAsiaTheme="minorEastAsia" w:cstheme="minorEastAsia"/>
          <w:sz w:val="28"/>
          <w:szCs w:val="28"/>
        </w:rPr>
        <w:t>甲醛废气产生总量及排放总量均为0.</w:t>
      </w:r>
      <w:r>
        <w:rPr>
          <w:rFonts w:hint="eastAsia" w:asciiTheme="minorEastAsia" w:hAnsiTheme="minorEastAsia" w:eastAsiaTheme="minorEastAsia" w:cstheme="minorEastAsia"/>
          <w:sz w:val="28"/>
          <w:szCs w:val="28"/>
          <w:lang w:val="en-US" w:eastAsia="zh-CN"/>
        </w:rPr>
        <w:t>68</w:t>
      </w:r>
      <w:r>
        <w:rPr>
          <w:rFonts w:hint="eastAsia" w:asciiTheme="minorEastAsia" w:hAnsiTheme="minorEastAsia" w:eastAsiaTheme="minorEastAsia" w:cstheme="minorEastAsia"/>
          <w:sz w:val="28"/>
          <w:szCs w:val="28"/>
        </w:rPr>
        <w:t>t/a，其</w:t>
      </w:r>
      <w:r>
        <w:rPr>
          <w:rFonts w:hint="eastAsia" w:asciiTheme="minorEastAsia" w:hAnsiTheme="minorEastAsia" w:eastAsiaTheme="minorEastAsia" w:cstheme="minorEastAsia"/>
          <w:sz w:val="28"/>
          <w:szCs w:val="28"/>
          <w:lang w:val="en-US" w:eastAsia="zh-CN"/>
        </w:rPr>
        <w:t>每根排气筒的</w:t>
      </w:r>
      <w:r>
        <w:rPr>
          <w:rFonts w:hint="eastAsia" w:asciiTheme="minorEastAsia" w:hAnsiTheme="minorEastAsia" w:eastAsiaTheme="minorEastAsia" w:cstheme="minorEastAsia"/>
          <w:sz w:val="28"/>
          <w:szCs w:val="28"/>
        </w:rPr>
        <w:t>排放浓度及速率强度为</w:t>
      </w:r>
      <w:r>
        <w:rPr>
          <w:rFonts w:hint="eastAsia" w:asciiTheme="minorEastAsia" w:hAnsiTheme="minorEastAsia" w:eastAsiaTheme="minorEastAsia" w:cstheme="minorEastAsia"/>
          <w:sz w:val="28"/>
          <w:szCs w:val="28"/>
          <w:lang w:val="en-US" w:eastAsia="zh-CN"/>
        </w:rPr>
        <w:t>1.57</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，0.04</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rPr>
        <w:t>kg/h。</w:t>
      </w:r>
    </w:p>
    <w:p>
      <w:pPr>
        <w:pStyle w:val="46"/>
        <w:numPr>
          <w:ilvl w:val="0"/>
          <w:numId w:val="3"/>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封蜡废气G3</w:t>
      </w:r>
    </w:p>
    <w:p>
      <w:pPr>
        <w:pStyle w:val="4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本项目封蜡工段所用石蜡会产生少量废气经15m高排气筒高空排放，大部分经过滤网冷却后可回用于生产，</w:t>
      </w:r>
      <w:r>
        <w:rPr>
          <w:rFonts w:hint="eastAsia" w:ascii="宋体" w:hAnsi="宋体"/>
          <w:sz w:val="28"/>
          <w:szCs w:val="28"/>
        </w:rPr>
        <w:t>根据</w:t>
      </w:r>
      <w:r>
        <w:rPr>
          <w:rFonts w:hint="eastAsia" w:ascii="宋体" w:hAnsi="宋体"/>
          <w:sz w:val="28"/>
          <w:szCs w:val="28"/>
          <w:lang w:val="en-US" w:eastAsia="zh-CN"/>
        </w:rPr>
        <w:t>石蜡</w:t>
      </w:r>
      <w:r>
        <w:rPr>
          <w:rFonts w:hint="eastAsia" w:ascii="宋体" w:hAnsi="宋体"/>
          <w:sz w:val="28"/>
          <w:szCs w:val="28"/>
        </w:rPr>
        <w:t>理化性质分析，该废气污染物以非甲烷总烃进行表征</w:t>
      </w:r>
      <w:r>
        <w:rPr>
          <w:rFonts w:hint="eastAsia" w:ascii="宋体" w:hAnsi="宋体"/>
          <w:sz w:val="28"/>
          <w:szCs w:val="28"/>
          <w:lang w:eastAsia="zh-CN"/>
        </w:rPr>
        <w:t>，</w:t>
      </w:r>
      <w:r>
        <w:rPr>
          <w:rFonts w:hint="eastAsia" w:ascii="宋体" w:hAnsi="宋体"/>
          <w:sz w:val="28"/>
          <w:szCs w:val="28"/>
          <w:lang w:val="en-US" w:eastAsia="zh-CN"/>
        </w:rPr>
        <w:t>同时</w:t>
      </w:r>
      <w:r>
        <w:rPr>
          <w:rFonts w:hint="eastAsia" w:asciiTheme="minorEastAsia" w:hAnsiTheme="minorEastAsia" w:eastAsiaTheme="minorEastAsia" w:cstheme="minorEastAsia"/>
          <w:sz w:val="28"/>
          <w:szCs w:val="28"/>
          <w:lang w:val="en-US" w:eastAsia="zh-CN"/>
        </w:rPr>
        <w:t>根据同类项目类比分析，本项目石蜡用量为160</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废气产生量为0.16</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其</w:t>
      </w:r>
      <w:r>
        <w:rPr>
          <w:rFonts w:hint="eastAsia" w:asciiTheme="minorEastAsia" w:hAnsiTheme="minorEastAsia" w:eastAsiaTheme="minorEastAsia" w:cstheme="minorEastAsia"/>
          <w:sz w:val="28"/>
          <w:szCs w:val="28"/>
        </w:rPr>
        <w:t>排放浓度及速率强度为</w:t>
      </w:r>
      <w:r>
        <w:rPr>
          <w:rFonts w:hint="eastAsia" w:asciiTheme="minorEastAsia" w:hAnsiTheme="minorEastAsia" w:eastAsiaTheme="minorEastAsia" w:cstheme="minorEastAsia"/>
          <w:sz w:val="28"/>
          <w:szCs w:val="28"/>
          <w:lang w:val="en-US" w:eastAsia="zh-CN"/>
        </w:rPr>
        <w:t>0.74</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，0.0</w:t>
      </w: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）导热油炉产生的烟尘废气</w:t>
      </w:r>
      <w:r>
        <w:rPr>
          <w:rFonts w:hint="eastAsia" w:asciiTheme="minorEastAsia" w:hAnsiTheme="minorEastAsia" w:eastAsiaTheme="minorEastAsia" w:cstheme="minorEastAsia"/>
          <w:sz w:val="28"/>
          <w:szCs w:val="28"/>
          <w:lang w:val="en-US" w:eastAsia="zh-CN"/>
        </w:rPr>
        <w:t>G4</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导热油炉以废木材及木屑为燃料，燃料耗量约为778kg/h（年耗量5602t）。根据《第一次全国污染源普查工业污染源产排污系数手册 第十分册》及相关资料，生物质蒸汽锅炉产排污系数表如下：</w:t>
      </w:r>
    </w:p>
    <w:p>
      <w:pPr>
        <w:spacing w:line="360" w:lineRule="auto"/>
        <w:ind w:firstLine="56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生物质蒸汽锅炉产排污系数表</w:t>
      </w:r>
    </w:p>
    <w:tbl>
      <w:tblPr>
        <w:tblStyle w:val="20"/>
        <w:tblW w:w="78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988"/>
        <w:gridCol w:w="1037"/>
        <w:gridCol w:w="1213"/>
        <w:gridCol w:w="1525"/>
        <w:gridCol w:w="93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Align w:val="center"/>
          </w:tcPr>
          <w:p>
            <w:pPr>
              <w:spacing w:line="360" w:lineRule="auto"/>
              <w:jc w:val="center"/>
              <w:rPr>
                <w:rFonts w:hint="eastAsia" w:hAnsi="宋体" w:cs="宋体"/>
                <w:sz w:val="24"/>
                <w:szCs w:val="24"/>
              </w:rPr>
            </w:pPr>
            <w:r>
              <w:rPr>
                <w:rFonts w:hint="eastAsia" w:hAnsi="宋体" w:cs="宋体"/>
                <w:sz w:val="24"/>
                <w:szCs w:val="24"/>
              </w:rPr>
              <w:t>产品</w:t>
            </w:r>
          </w:p>
        </w:tc>
        <w:tc>
          <w:tcPr>
            <w:tcW w:w="988" w:type="dxa"/>
            <w:vAlign w:val="center"/>
          </w:tcPr>
          <w:p>
            <w:pPr>
              <w:spacing w:line="360" w:lineRule="auto"/>
              <w:jc w:val="center"/>
              <w:rPr>
                <w:rFonts w:hint="eastAsia" w:hAnsi="宋体" w:cs="宋体"/>
                <w:sz w:val="24"/>
                <w:szCs w:val="24"/>
              </w:rPr>
            </w:pPr>
            <w:r>
              <w:rPr>
                <w:rFonts w:hint="eastAsia" w:hAnsi="宋体" w:cs="宋体"/>
                <w:sz w:val="24"/>
                <w:szCs w:val="24"/>
              </w:rPr>
              <w:t>原料名</w:t>
            </w:r>
          </w:p>
        </w:tc>
        <w:tc>
          <w:tcPr>
            <w:tcW w:w="1037" w:type="dxa"/>
            <w:vAlign w:val="center"/>
          </w:tcPr>
          <w:p>
            <w:pPr>
              <w:spacing w:line="360" w:lineRule="auto"/>
              <w:jc w:val="center"/>
              <w:rPr>
                <w:rFonts w:hint="eastAsia" w:hAnsi="宋体" w:cs="宋体"/>
                <w:sz w:val="24"/>
                <w:szCs w:val="24"/>
              </w:rPr>
            </w:pPr>
            <w:r>
              <w:rPr>
                <w:rFonts w:hint="eastAsia" w:hAnsi="宋体" w:cs="宋体"/>
                <w:sz w:val="24"/>
                <w:szCs w:val="24"/>
              </w:rPr>
              <w:t>工段</w:t>
            </w:r>
          </w:p>
        </w:tc>
        <w:tc>
          <w:tcPr>
            <w:tcW w:w="1213" w:type="dxa"/>
            <w:vAlign w:val="center"/>
          </w:tcPr>
          <w:p>
            <w:pPr>
              <w:spacing w:line="360" w:lineRule="auto"/>
              <w:jc w:val="center"/>
              <w:rPr>
                <w:rFonts w:hint="eastAsia" w:hAnsi="宋体" w:cs="宋体"/>
                <w:sz w:val="24"/>
                <w:szCs w:val="24"/>
              </w:rPr>
            </w:pPr>
            <w:r>
              <w:rPr>
                <w:rFonts w:hint="eastAsia" w:hAnsi="宋体" w:cs="宋体"/>
                <w:sz w:val="24"/>
                <w:szCs w:val="24"/>
              </w:rPr>
              <w:t>规模</w:t>
            </w:r>
          </w:p>
        </w:tc>
        <w:tc>
          <w:tcPr>
            <w:tcW w:w="1525" w:type="dxa"/>
            <w:vAlign w:val="center"/>
          </w:tcPr>
          <w:p>
            <w:pPr>
              <w:spacing w:line="360" w:lineRule="auto"/>
              <w:jc w:val="center"/>
              <w:rPr>
                <w:rFonts w:hint="eastAsia" w:hAnsi="宋体" w:cs="宋体"/>
                <w:sz w:val="24"/>
                <w:szCs w:val="24"/>
              </w:rPr>
            </w:pPr>
            <w:r>
              <w:rPr>
                <w:rFonts w:hint="eastAsia" w:hAnsi="宋体" w:cs="宋体"/>
                <w:sz w:val="24"/>
                <w:szCs w:val="24"/>
              </w:rPr>
              <w:t>污染物指标</w:t>
            </w:r>
          </w:p>
        </w:tc>
        <w:tc>
          <w:tcPr>
            <w:tcW w:w="937" w:type="dxa"/>
            <w:vAlign w:val="center"/>
          </w:tcPr>
          <w:p>
            <w:pPr>
              <w:spacing w:line="360" w:lineRule="auto"/>
              <w:jc w:val="center"/>
              <w:rPr>
                <w:rFonts w:hint="eastAsia" w:hAnsi="宋体" w:cs="宋体"/>
                <w:sz w:val="24"/>
                <w:szCs w:val="24"/>
              </w:rPr>
            </w:pPr>
            <w:r>
              <w:rPr>
                <w:rFonts w:hint="eastAsia" w:hAnsi="宋体" w:cs="宋体"/>
                <w:sz w:val="24"/>
                <w:szCs w:val="24"/>
              </w:rPr>
              <w:t>单位</w:t>
            </w:r>
          </w:p>
        </w:tc>
        <w:tc>
          <w:tcPr>
            <w:tcW w:w="1350" w:type="dxa"/>
            <w:vAlign w:val="center"/>
          </w:tcPr>
          <w:p>
            <w:pPr>
              <w:spacing w:line="360" w:lineRule="auto"/>
              <w:jc w:val="center"/>
              <w:rPr>
                <w:rFonts w:hint="eastAsia" w:hAnsi="宋体" w:cs="宋体"/>
                <w:sz w:val="24"/>
                <w:szCs w:val="24"/>
              </w:rPr>
            </w:pPr>
            <w:r>
              <w:rPr>
                <w:rFonts w:hint="eastAsia" w:hAnsi="宋体" w:cs="宋体"/>
                <w:sz w:val="24"/>
                <w:szCs w:val="24"/>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Merge w:val="restart"/>
            <w:vAlign w:val="center"/>
          </w:tcPr>
          <w:p>
            <w:pPr>
              <w:spacing w:line="360" w:lineRule="auto"/>
              <w:jc w:val="center"/>
              <w:rPr>
                <w:rFonts w:hint="eastAsia" w:ascii="宋体" w:hAnsi="宋体" w:cs="宋体"/>
                <w:sz w:val="24"/>
                <w:szCs w:val="24"/>
              </w:rPr>
            </w:pPr>
            <w:r>
              <w:rPr>
                <w:rFonts w:hint="eastAsia" w:ascii="宋体" w:hAnsi="宋体" w:cs="宋体"/>
                <w:sz w:val="24"/>
                <w:szCs w:val="24"/>
              </w:rPr>
              <w:t>热水</w:t>
            </w:r>
          </w:p>
        </w:tc>
        <w:tc>
          <w:tcPr>
            <w:tcW w:w="988" w:type="dxa"/>
            <w:vMerge w:val="restart"/>
            <w:vAlign w:val="center"/>
          </w:tcPr>
          <w:p>
            <w:pPr>
              <w:spacing w:line="360" w:lineRule="auto"/>
              <w:jc w:val="center"/>
              <w:rPr>
                <w:rFonts w:hint="eastAsia" w:ascii="宋体" w:hAnsi="宋体" w:cs="宋体"/>
                <w:sz w:val="24"/>
                <w:szCs w:val="24"/>
              </w:rPr>
            </w:pPr>
            <w:r>
              <w:rPr>
                <w:rFonts w:hint="eastAsia" w:ascii="宋体" w:hAnsi="宋体" w:cs="宋体"/>
                <w:sz w:val="24"/>
                <w:szCs w:val="24"/>
              </w:rPr>
              <w:t>生物质</w:t>
            </w:r>
          </w:p>
        </w:tc>
        <w:tc>
          <w:tcPr>
            <w:tcW w:w="1037" w:type="dxa"/>
            <w:vMerge w:val="restart"/>
            <w:vAlign w:val="center"/>
          </w:tcPr>
          <w:p>
            <w:pPr>
              <w:spacing w:line="360" w:lineRule="auto"/>
              <w:jc w:val="center"/>
              <w:rPr>
                <w:rFonts w:hint="eastAsia" w:ascii="宋体" w:hAnsi="宋体" w:cs="宋体"/>
                <w:sz w:val="24"/>
                <w:szCs w:val="24"/>
              </w:rPr>
            </w:pPr>
            <w:r>
              <w:rPr>
                <w:rFonts w:hint="eastAsia" w:ascii="宋体" w:hAnsi="宋体" w:cs="宋体"/>
                <w:sz w:val="24"/>
                <w:szCs w:val="24"/>
              </w:rPr>
              <w:t>层燃炉</w:t>
            </w:r>
          </w:p>
        </w:tc>
        <w:tc>
          <w:tcPr>
            <w:tcW w:w="1213" w:type="dxa"/>
            <w:vMerge w:val="restart"/>
            <w:vAlign w:val="center"/>
          </w:tcPr>
          <w:p>
            <w:pPr>
              <w:spacing w:line="360" w:lineRule="auto"/>
              <w:jc w:val="center"/>
              <w:rPr>
                <w:rFonts w:hint="eastAsia" w:ascii="宋体" w:hAnsi="宋体" w:cs="宋体"/>
                <w:sz w:val="24"/>
                <w:szCs w:val="24"/>
              </w:rPr>
            </w:pPr>
            <w:r>
              <w:rPr>
                <w:rFonts w:hint="eastAsia" w:ascii="宋体" w:hAnsi="宋体" w:cs="宋体"/>
                <w:sz w:val="24"/>
                <w:szCs w:val="24"/>
              </w:rPr>
              <w:t>所有规模</w:t>
            </w:r>
          </w:p>
        </w:tc>
        <w:tc>
          <w:tcPr>
            <w:tcW w:w="1525"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废气量</w:t>
            </w:r>
          </w:p>
        </w:tc>
        <w:tc>
          <w:tcPr>
            <w:tcW w:w="93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m</w:t>
            </w:r>
            <w:r>
              <w:rPr>
                <w:rFonts w:hint="eastAsia" w:ascii="宋体" w:hAnsi="宋体" w:cs="宋体"/>
                <w:sz w:val="24"/>
                <w:szCs w:val="24"/>
                <w:vertAlign w:val="superscript"/>
              </w:rPr>
              <w:t>3</w:t>
            </w:r>
            <w:r>
              <w:rPr>
                <w:rFonts w:hint="eastAsia" w:ascii="宋体" w:hAnsi="宋体" w:cs="宋体"/>
                <w:sz w:val="24"/>
                <w:szCs w:val="24"/>
              </w:rPr>
              <w:t>/t</w:t>
            </w:r>
          </w:p>
        </w:tc>
        <w:tc>
          <w:tcPr>
            <w:tcW w:w="1350"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6240.28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Merge w:val="continue"/>
            <w:vAlign w:val="center"/>
          </w:tcPr>
          <w:p>
            <w:pPr>
              <w:spacing w:line="360" w:lineRule="auto"/>
              <w:ind w:firstLine="480" w:firstLineChars="200"/>
              <w:jc w:val="center"/>
              <w:rPr>
                <w:rFonts w:hint="eastAsia" w:ascii="宋体" w:hAnsi="宋体" w:cs="宋体"/>
                <w:sz w:val="24"/>
                <w:szCs w:val="24"/>
              </w:rPr>
            </w:pPr>
            <w:r>
              <w:rPr>
                <w:rFonts w:hint="eastAsia" w:ascii="宋体" w:hAnsi="宋体" w:cs="宋体"/>
                <w:sz w:val="24"/>
                <w:szCs w:val="24"/>
              </w:rPr>
              <w:t xml:space="preserve"> </w:t>
            </w:r>
          </w:p>
        </w:tc>
        <w:tc>
          <w:tcPr>
            <w:tcW w:w="988" w:type="dxa"/>
            <w:vMerge w:val="continue"/>
            <w:vAlign w:val="center"/>
          </w:tcPr>
          <w:p>
            <w:pPr>
              <w:spacing w:line="360" w:lineRule="auto"/>
              <w:ind w:firstLine="480" w:firstLineChars="200"/>
              <w:jc w:val="center"/>
              <w:rPr>
                <w:rFonts w:hint="eastAsia" w:ascii="宋体" w:hAnsi="宋体" w:cs="宋体"/>
                <w:sz w:val="24"/>
                <w:szCs w:val="24"/>
              </w:rPr>
            </w:pPr>
          </w:p>
        </w:tc>
        <w:tc>
          <w:tcPr>
            <w:tcW w:w="1037" w:type="dxa"/>
            <w:vMerge w:val="continue"/>
            <w:vAlign w:val="center"/>
          </w:tcPr>
          <w:p>
            <w:pPr>
              <w:spacing w:line="360" w:lineRule="auto"/>
              <w:ind w:firstLine="480" w:firstLineChars="200"/>
              <w:jc w:val="center"/>
              <w:rPr>
                <w:rFonts w:hint="eastAsia" w:ascii="宋体" w:hAnsi="宋体" w:cs="宋体"/>
                <w:sz w:val="24"/>
                <w:szCs w:val="24"/>
              </w:rPr>
            </w:pPr>
          </w:p>
        </w:tc>
        <w:tc>
          <w:tcPr>
            <w:tcW w:w="1213" w:type="dxa"/>
            <w:vMerge w:val="continue"/>
            <w:vAlign w:val="center"/>
          </w:tcPr>
          <w:p>
            <w:pPr>
              <w:spacing w:line="360" w:lineRule="auto"/>
              <w:ind w:firstLine="480" w:firstLineChars="200"/>
              <w:jc w:val="center"/>
              <w:rPr>
                <w:rFonts w:hint="eastAsia" w:ascii="宋体" w:hAnsi="宋体" w:cs="宋体"/>
                <w:sz w:val="24"/>
                <w:szCs w:val="24"/>
              </w:rPr>
            </w:pPr>
          </w:p>
        </w:tc>
        <w:tc>
          <w:tcPr>
            <w:tcW w:w="1525"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二氧化硫</w:t>
            </w:r>
          </w:p>
        </w:tc>
        <w:tc>
          <w:tcPr>
            <w:tcW w:w="93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kg/t</w:t>
            </w:r>
          </w:p>
        </w:tc>
        <w:tc>
          <w:tcPr>
            <w:tcW w:w="1350"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17S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Merge w:val="continue"/>
            <w:vAlign w:val="center"/>
          </w:tcPr>
          <w:p>
            <w:pPr>
              <w:spacing w:line="360" w:lineRule="auto"/>
              <w:ind w:firstLine="480" w:firstLineChars="200"/>
              <w:jc w:val="center"/>
              <w:rPr>
                <w:rFonts w:hint="eastAsia" w:ascii="宋体" w:hAnsi="宋体" w:cs="宋体"/>
                <w:sz w:val="24"/>
                <w:szCs w:val="24"/>
              </w:rPr>
            </w:pPr>
          </w:p>
        </w:tc>
        <w:tc>
          <w:tcPr>
            <w:tcW w:w="988" w:type="dxa"/>
            <w:vMerge w:val="continue"/>
            <w:vAlign w:val="center"/>
          </w:tcPr>
          <w:p>
            <w:pPr>
              <w:spacing w:line="360" w:lineRule="auto"/>
              <w:ind w:firstLine="480" w:firstLineChars="200"/>
              <w:jc w:val="center"/>
              <w:rPr>
                <w:rFonts w:hint="eastAsia" w:ascii="宋体" w:hAnsi="宋体" w:cs="宋体"/>
                <w:sz w:val="24"/>
                <w:szCs w:val="24"/>
              </w:rPr>
            </w:pPr>
          </w:p>
        </w:tc>
        <w:tc>
          <w:tcPr>
            <w:tcW w:w="1037" w:type="dxa"/>
            <w:vMerge w:val="continue"/>
            <w:vAlign w:val="center"/>
          </w:tcPr>
          <w:p>
            <w:pPr>
              <w:spacing w:line="360" w:lineRule="auto"/>
              <w:ind w:firstLine="480" w:firstLineChars="200"/>
              <w:jc w:val="center"/>
              <w:rPr>
                <w:rFonts w:hint="eastAsia" w:ascii="宋体" w:hAnsi="宋体" w:cs="宋体"/>
                <w:sz w:val="24"/>
                <w:szCs w:val="24"/>
              </w:rPr>
            </w:pPr>
          </w:p>
        </w:tc>
        <w:tc>
          <w:tcPr>
            <w:tcW w:w="1213" w:type="dxa"/>
            <w:vMerge w:val="continue"/>
            <w:vAlign w:val="center"/>
          </w:tcPr>
          <w:p>
            <w:pPr>
              <w:spacing w:line="360" w:lineRule="auto"/>
              <w:ind w:firstLine="480" w:firstLineChars="200"/>
              <w:jc w:val="center"/>
              <w:rPr>
                <w:rFonts w:hint="eastAsia" w:ascii="宋体" w:hAnsi="宋体" w:cs="宋体"/>
                <w:sz w:val="24"/>
                <w:szCs w:val="24"/>
              </w:rPr>
            </w:pPr>
          </w:p>
        </w:tc>
        <w:tc>
          <w:tcPr>
            <w:tcW w:w="1525"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烟尘</w:t>
            </w:r>
          </w:p>
        </w:tc>
        <w:tc>
          <w:tcPr>
            <w:tcW w:w="93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kg/t</w:t>
            </w:r>
          </w:p>
        </w:tc>
        <w:tc>
          <w:tcPr>
            <w:tcW w:w="1350"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vMerge w:val="continue"/>
            <w:vAlign w:val="center"/>
          </w:tcPr>
          <w:p>
            <w:pPr>
              <w:spacing w:line="360" w:lineRule="auto"/>
              <w:ind w:firstLine="480" w:firstLineChars="200"/>
              <w:jc w:val="center"/>
              <w:rPr>
                <w:rFonts w:hint="eastAsia" w:ascii="宋体" w:hAnsi="宋体" w:cs="宋体"/>
                <w:sz w:val="24"/>
                <w:szCs w:val="24"/>
              </w:rPr>
            </w:pPr>
          </w:p>
        </w:tc>
        <w:tc>
          <w:tcPr>
            <w:tcW w:w="988" w:type="dxa"/>
            <w:vMerge w:val="continue"/>
            <w:vAlign w:val="center"/>
          </w:tcPr>
          <w:p>
            <w:pPr>
              <w:spacing w:line="360" w:lineRule="auto"/>
              <w:ind w:firstLine="480" w:firstLineChars="200"/>
              <w:jc w:val="center"/>
              <w:rPr>
                <w:rFonts w:hint="eastAsia" w:ascii="宋体" w:hAnsi="宋体" w:cs="宋体"/>
                <w:sz w:val="24"/>
                <w:szCs w:val="24"/>
              </w:rPr>
            </w:pPr>
          </w:p>
        </w:tc>
        <w:tc>
          <w:tcPr>
            <w:tcW w:w="1037" w:type="dxa"/>
            <w:vMerge w:val="continue"/>
            <w:vAlign w:val="center"/>
          </w:tcPr>
          <w:p>
            <w:pPr>
              <w:spacing w:line="360" w:lineRule="auto"/>
              <w:ind w:firstLine="480" w:firstLineChars="200"/>
              <w:jc w:val="center"/>
              <w:rPr>
                <w:rFonts w:hint="eastAsia" w:ascii="宋体" w:hAnsi="宋体" w:cs="宋体"/>
                <w:sz w:val="24"/>
                <w:szCs w:val="24"/>
              </w:rPr>
            </w:pPr>
          </w:p>
        </w:tc>
        <w:tc>
          <w:tcPr>
            <w:tcW w:w="1213" w:type="dxa"/>
            <w:vMerge w:val="continue"/>
            <w:vAlign w:val="center"/>
          </w:tcPr>
          <w:p>
            <w:pPr>
              <w:spacing w:line="360" w:lineRule="auto"/>
              <w:ind w:firstLine="480" w:firstLineChars="200"/>
              <w:jc w:val="center"/>
              <w:rPr>
                <w:rFonts w:hint="eastAsia" w:ascii="宋体" w:hAnsi="宋体" w:cs="宋体"/>
                <w:sz w:val="24"/>
                <w:szCs w:val="24"/>
              </w:rPr>
            </w:pPr>
          </w:p>
        </w:tc>
        <w:tc>
          <w:tcPr>
            <w:tcW w:w="1525"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氮氧化物</w:t>
            </w:r>
          </w:p>
        </w:tc>
        <w:tc>
          <w:tcPr>
            <w:tcW w:w="93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kg/t</w:t>
            </w:r>
          </w:p>
        </w:tc>
        <w:tc>
          <w:tcPr>
            <w:tcW w:w="1350"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1.02</w:t>
            </w:r>
          </w:p>
        </w:tc>
      </w:tr>
    </w:tbl>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根据上表计算（</w:t>
      </w:r>
      <w:r>
        <w:rPr>
          <w:rFonts w:hint="eastAsia" w:asciiTheme="minorEastAsia" w:hAnsiTheme="minorEastAsia" w:eastAsiaTheme="minorEastAsia" w:cstheme="minorEastAsia"/>
          <w:sz w:val="28"/>
          <w:szCs w:val="28"/>
        </w:rPr>
        <w:t>其含硫量取0.1%计算</w:t>
      </w:r>
      <w:r>
        <w:rPr>
          <w:rFonts w:hint="eastAsia" w:asciiTheme="minorEastAsia" w:hAnsiTheme="minorEastAsia" w:eastAsiaTheme="minorEastAsia" w:cstheme="minorEastAsia"/>
          <w:sz w:val="28"/>
          <w:szCs w:val="28"/>
          <w:lang w:val="en-US" w:eastAsia="zh-CN"/>
        </w:rPr>
        <w:t>），则</w:t>
      </w:r>
      <w:r>
        <w:rPr>
          <w:rFonts w:hint="eastAsia" w:asciiTheme="minorEastAsia" w:hAnsiTheme="minorEastAsia" w:eastAsiaTheme="minorEastAsia" w:cstheme="minorEastAsia"/>
          <w:sz w:val="28"/>
          <w:szCs w:val="28"/>
        </w:rPr>
        <w:t>该供热系统燃烧过程中产生的主要污染物烟尘21</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SO</w:t>
      </w:r>
      <w:r>
        <w:rPr>
          <w:rFonts w:hint="eastAsia" w:asciiTheme="minorEastAsia" w:hAnsiTheme="minorEastAsia" w:eastAsiaTheme="minorEastAsia" w:cstheme="minorEastAsia"/>
          <w:sz w:val="28"/>
          <w:szCs w:val="28"/>
          <w:vertAlign w:val="subscript"/>
          <w:lang w:val="en-US" w:eastAsia="zh-CN"/>
        </w:rPr>
        <w:t>2</w:t>
      </w:r>
      <w:r>
        <w:rPr>
          <w:rFonts w:hint="eastAsia" w:asciiTheme="minorEastAsia" w:hAnsiTheme="minorEastAsia" w:eastAsiaTheme="minorEastAsia" w:cstheme="minorEastAsia"/>
          <w:sz w:val="28"/>
          <w:szCs w:val="28"/>
          <w:vertAlign w:val="baseline"/>
          <w:lang w:val="en-US" w:eastAsia="zh-CN"/>
        </w:rPr>
        <w:t>9.5</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vertAlign w:val="baseline"/>
          <w:lang w:val="en-US" w:eastAsia="zh-CN"/>
        </w:rPr>
        <w:t>、</w:t>
      </w:r>
      <w:r>
        <w:rPr>
          <w:rFonts w:hint="eastAsia" w:asciiTheme="minorEastAsia" w:hAnsiTheme="minorEastAsia" w:eastAsiaTheme="minorEastAsia" w:cstheme="minorEastAsia"/>
          <w:sz w:val="28"/>
          <w:szCs w:val="28"/>
          <w:lang w:val="en-US" w:eastAsia="zh-CN"/>
        </w:rPr>
        <w:t>NO</w:t>
      </w:r>
      <w:r>
        <w:rPr>
          <w:rFonts w:hint="eastAsia" w:asciiTheme="minorEastAsia" w:hAnsiTheme="minorEastAsia" w:eastAsiaTheme="minorEastAsia" w:cstheme="minorEastAsia"/>
          <w:sz w:val="28"/>
          <w:szCs w:val="28"/>
          <w:vertAlign w:val="subscript"/>
          <w:lang w:val="en-US" w:eastAsia="zh-CN"/>
        </w:rPr>
        <w:t>X</w:t>
      </w:r>
      <w:r>
        <w:rPr>
          <w:rFonts w:hint="eastAsia" w:asciiTheme="minorEastAsia" w:hAnsiTheme="minorEastAsia" w:eastAsiaTheme="minorEastAsia" w:cstheme="minorEastAsia"/>
          <w:sz w:val="28"/>
          <w:szCs w:val="28"/>
          <w:vertAlign w:val="baseline"/>
          <w:lang w:val="en-US" w:eastAsia="zh-CN"/>
        </w:rPr>
        <w:t>5.7</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该烟尘废气经配套的旋风多管除尘器处理后通过1根</w:t>
      </w:r>
      <w:r>
        <w:rPr>
          <w:rFonts w:hint="eastAsia" w:asciiTheme="minorEastAsia" w:hAnsiTheme="minorEastAsia" w:eastAsiaTheme="minorEastAsia" w:cstheme="minorEastAsia"/>
          <w:sz w:val="28"/>
          <w:szCs w:val="28"/>
          <w:lang w:val="en-US" w:eastAsia="zh-CN"/>
        </w:rPr>
        <w:t>20</w:t>
      </w:r>
      <w:r>
        <w:rPr>
          <w:rFonts w:hint="eastAsia" w:asciiTheme="minorEastAsia" w:hAnsiTheme="minorEastAsia" w:eastAsiaTheme="minorEastAsia" w:cstheme="minorEastAsia"/>
          <w:sz w:val="28"/>
          <w:szCs w:val="28"/>
        </w:rPr>
        <w:t>m高的排气筒高空排放，其除尘效率可达90%以上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本次按</w:t>
      </w:r>
      <w:r>
        <w:rPr>
          <w:rFonts w:hint="eastAsia" w:asciiTheme="minorEastAsia" w:hAnsiTheme="minorEastAsia" w:eastAsiaTheme="minorEastAsia" w:cstheme="minorEastAsia"/>
          <w:sz w:val="28"/>
          <w:szCs w:val="28"/>
        </w:rPr>
        <w:t>90%</w:t>
      </w:r>
      <w:r>
        <w:rPr>
          <w:rFonts w:hint="eastAsia" w:asciiTheme="minorEastAsia" w:hAnsiTheme="minorEastAsia" w:eastAsiaTheme="minorEastAsia" w:cstheme="minorEastAsia"/>
          <w:sz w:val="28"/>
          <w:szCs w:val="28"/>
          <w:lang w:val="en-US" w:eastAsia="zh-CN"/>
        </w:rPr>
        <w:t>核算</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。该除尘系统的总引风量为3.2万m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/h，其燃烧废气最终排放量为</w:t>
      </w:r>
      <w:r>
        <w:rPr>
          <w:rFonts w:hint="eastAsia" w:asciiTheme="minorEastAsia" w:hAnsiTheme="minorEastAsia" w:eastAsiaTheme="minorEastAsia" w:cstheme="minorEastAsia"/>
          <w:sz w:val="28"/>
          <w:szCs w:val="28"/>
          <w:lang w:val="en-US" w:eastAsia="zh-CN"/>
        </w:rPr>
        <w:t>烟尘</w:t>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SO</w:t>
      </w:r>
      <w:r>
        <w:rPr>
          <w:rFonts w:hint="eastAsia" w:asciiTheme="minorEastAsia" w:hAnsiTheme="minorEastAsia" w:eastAsiaTheme="minorEastAsia" w:cstheme="minorEastAsia"/>
          <w:sz w:val="28"/>
          <w:szCs w:val="28"/>
          <w:vertAlign w:val="subscript"/>
          <w:lang w:val="en-US" w:eastAsia="zh-CN"/>
        </w:rPr>
        <w:t>2</w:t>
      </w:r>
      <w:r>
        <w:rPr>
          <w:rFonts w:hint="eastAsia" w:asciiTheme="minorEastAsia" w:hAnsiTheme="minorEastAsia" w:eastAsiaTheme="minorEastAsia" w:cstheme="minorEastAsia"/>
          <w:sz w:val="28"/>
          <w:szCs w:val="28"/>
          <w:vertAlign w:val="baseline"/>
          <w:lang w:val="en-US" w:eastAsia="zh-CN"/>
        </w:rPr>
        <w:t>9.5</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vertAlign w:val="baseline"/>
          <w:lang w:val="en-US" w:eastAsia="zh-CN"/>
        </w:rPr>
        <w:t>、</w:t>
      </w:r>
      <w:r>
        <w:rPr>
          <w:rFonts w:hint="eastAsia" w:asciiTheme="minorEastAsia" w:hAnsiTheme="minorEastAsia" w:eastAsiaTheme="minorEastAsia" w:cstheme="minorEastAsia"/>
          <w:sz w:val="28"/>
          <w:szCs w:val="28"/>
          <w:lang w:val="en-US" w:eastAsia="zh-CN"/>
        </w:rPr>
        <w:t>NO</w:t>
      </w:r>
      <w:r>
        <w:rPr>
          <w:rFonts w:hint="eastAsia" w:asciiTheme="minorEastAsia" w:hAnsiTheme="minorEastAsia" w:eastAsiaTheme="minorEastAsia" w:cstheme="minorEastAsia"/>
          <w:sz w:val="28"/>
          <w:szCs w:val="28"/>
          <w:vertAlign w:val="subscript"/>
          <w:lang w:val="en-US" w:eastAsia="zh-CN"/>
        </w:rPr>
        <w:t>X</w:t>
      </w:r>
      <w:r>
        <w:rPr>
          <w:rFonts w:hint="eastAsia" w:asciiTheme="minorEastAsia" w:hAnsiTheme="minorEastAsia" w:eastAsiaTheme="minorEastAsia" w:cstheme="minorEastAsia"/>
          <w:sz w:val="28"/>
          <w:szCs w:val="28"/>
          <w:vertAlign w:val="baseline"/>
          <w:lang w:val="en-US" w:eastAsia="zh-CN"/>
        </w:rPr>
        <w:t>5.7</w:t>
      </w:r>
      <w:r>
        <w:rPr>
          <w:rFonts w:hint="eastAsia" w:asciiTheme="minorEastAsia" w:hAnsiTheme="minorEastAsia" w:eastAsiaTheme="minorEastAsia" w:cstheme="minorEastAsia"/>
          <w:sz w:val="28"/>
          <w:szCs w:val="28"/>
        </w:rPr>
        <w:t>t/a</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排放浓度</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vertAlign w:val="baseline"/>
          <w:lang w:eastAsia="zh-CN"/>
        </w:rPr>
        <w:t>、</w:t>
      </w:r>
      <w:r>
        <w:rPr>
          <w:rFonts w:hint="eastAsia" w:asciiTheme="minorEastAsia" w:hAnsiTheme="minorEastAsia" w:eastAsiaTheme="minorEastAsia" w:cstheme="minorEastAsia"/>
          <w:sz w:val="28"/>
          <w:szCs w:val="28"/>
          <w:vertAlign w:val="baseline"/>
          <w:lang w:val="en-US" w:eastAsia="zh-CN"/>
        </w:rPr>
        <w:t>40.6</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vertAlign w:val="baseline"/>
          <w:lang w:val="en-US" w:eastAsia="zh-CN"/>
        </w:rPr>
        <w:t>、24.7</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vertAlign w:val="baseline"/>
          <w:lang w:val="en-US" w:eastAsia="zh-CN"/>
        </w:rPr>
        <w:t>，</w:t>
      </w:r>
      <w:r>
        <w:rPr>
          <w:rFonts w:hint="eastAsia" w:asciiTheme="minorEastAsia" w:hAnsiTheme="minorEastAsia" w:eastAsiaTheme="minorEastAsia" w:cstheme="minorEastAsia"/>
          <w:sz w:val="28"/>
          <w:szCs w:val="28"/>
          <w:lang w:val="en-US" w:eastAsia="zh-CN"/>
        </w:rPr>
        <w:t>排放速率</w:t>
      </w:r>
      <w:r>
        <w:rPr>
          <w:rFonts w:hint="eastAsia" w:asciiTheme="minorEastAsia" w:hAnsiTheme="minorEastAsia" w:eastAsiaTheme="minorEastAsia" w:cstheme="minorEastAsia"/>
          <w:sz w:val="28"/>
          <w:szCs w:val="28"/>
        </w:rPr>
        <w:t>为</w:t>
      </w:r>
      <w:r>
        <w:rPr>
          <w:rFonts w:hint="eastAsia" w:asciiTheme="minorEastAsia" w:hAnsiTheme="minorEastAsia" w:eastAsiaTheme="minorEastAsia" w:cstheme="minorEastAsia"/>
          <w:sz w:val="28"/>
          <w:szCs w:val="28"/>
          <w:lang w:val="en-US" w:eastAsia="zh-CN"/>
        </w:rPr>
        <w:t>2.9</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1.3</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0.79</w:t>
      </w:r>
      <w:r>
        <w:rPr>
          <w:rFonts w:hint="eastAsia" w:asciiTheme="minorEastAsia" w:hAnsiTheme="minorEastAsia" w:eastAsiaTheme="minorEastAsia" w:cstheme="minorEastAsia"/>
          <w:sz w:val="28"/>
          <w:szCs w:val="28"/>
        </w:rPr>
        <w:t>kg/h。</w:t>
      </w:r>
    </w:p>
    <w:p>
      <w:pPr>
        <w:pStyle w:val="46"/>
        <w:spacing w:line="360" w:lineRule="auto"/>
        <w:ind w:firstLine="56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rPr>
        <w:t>考虑到本项目生产过程中由于集气吸尘罩有一定的捕集效率，部分可能捕集不到的废气以无组织形式排放。根据同类项目类比调查可知，其捕集效率在99%以上（本次按99%核算）</w:t>
      </w:r>
      <w:r>
        <w:rPr>
          <w:rFonts w:hint="eastAsia" w:asciiTheme="minorEastAsia" w:hAnsiTheme="minorEastAsia" w:eastAsiaTheme="minorEastAsia" w:cstheme="minorEastAsia"/>
          <w:kern w:val="0"/>
          <w:sz w:val="28"/>
          <w:szCs w:val="28"/>
        </w:rPr>
        <w:t>，</w:t>
      </w:r>
      <w:r>
        <w:rPr>
          <w:rFonts w:hint="eastAsia" w:asciiTheme="minorEastAsia" w:hAnsiTheme="minorEastAsia" w:eastAsiaTheme="minorEastAsia" w:cstheme="minorEastAsia"/>
          <w:kern w:val="0"/>
          <w:sz w:val="28"/>
          <w:szCs w:val="28"/>
          <w:lang w:val="en-US" w:eastAsia="zh-CN"/>
        </w:rPr>
        <w:t>即该项目无组织排放</w:t>
      </w:r>
      <w:r>
        <w:rPr>
          <w:rFonts w:hint="eastAsia" w:asciiTheme="minorEastAsia" w:hAnsiTheme="minorEastAsia" w:eastAsiaTheme="minorEastAsia" w:cstheme="minorEastAsia"/>
          <w:kern w:val="0"/>
          <w:sz w:val="28"/>
          <w:szCs w:val="28"/>
        </w:rPr>
        <w:t>甲醛</w:t>
      </w:r>
      <w:r>
        <w:rPr>
          <w:rFonts w:hint="eastAsia" w:asciiTheme="minorEastAsia" w:hAnsiTheme="minorEastAsia" w:eastAsiaTheme="minorEastAsia" w:cstheme="minorEastAsia"/>
          <w:kern w:val="0"/>
          <w:sz w:val="28"/>
          <w:szCs w:val="28"/>
          <w:lang w:val="en-US" w:eastAsia="zh-CN"/>
        </w:rPr>
        <w:t>0.0068</w:t>
      </w:r>
      <w:r>
        <w:rPr>
          <w:rFonts w:hint="eastAsia" w:asciiTheme="minorEastAsia" w:hAnsiTheme="minorEastAsia" w:eastAsiaTheme="minorEastAsia" w:cstheme="minorEastAsia"/>
          <w:kern w:val="0"/>
          <w:sz w:val="28"/>
          <w:szCs w:val="28"/>
        </w:rPr>
        <w:t>t/a</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lang w:val="en-US" w:eastAsia="zh-CN"/>
        </w:rPr>
        <w:t>非甲烷总烃0.0016</w:t>
      </w:r>
      <w:r>
        <w:rPr>
          <w:rFonts w:hint="eastAsia" w:asciiTheme="minorEastAsia" w:hAnsiTheme="minorEastAsia" w:eastAsiaTheme="minorEastAsia" w:cstheme="minorEastAsia"/>
          <w:kern w:val="0"/>
          <w:sz w:val="28"/>
          <w:szCs w:val="28"/>
        </w:rPr>
        <w:t>t/a</w:t>
      </w:r>
      <w:r>
        <w:rPr>
          <w:rFonts w:hint="eastAsia" w:asciiTheme="minorEastAsia" w:hAnsiTheme="minorEastAsia" w:eastAsiaTheme="minorEastAsia" w:cstheme="minorEastAsia"/>
          <w:kern w:val="0"/>
          <w:sz w:val="28"/>
          <w:szCs w:val="28"/>
          <w:lang w:eastAsia="zh-CN"/>
        </w:rPr>
        <w:t>。</w:t>
      </w:r>
    </w:p>
    <w:p>
      <w:pPr>
        <w:spacing w:line="360" w:lineRule="auto"/>
        <w:ind w:firstLine="560"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本项目大气污染物排放情况见表2.2-1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表2.2-1  本项目大气污染物</w:t>
      </w:r>
      <w:r>
        <w:rPr>
          <w:rFonts w:hint="eastAsia" w:asciiTheme="minorEastAsia" w:hAnsiTheme="minorEastAsia" w:eastAsiaTheme="minorEastAsia" w:cstheme="minorEastAsia"/>
          <w:b/>
          <w:sz w:val="28"/>
          <w:szCs w:val="28"/>
          <w:lang w:val="en-US" w:eastAsia="zh-CN"/>
        </w:rPr>
        <w:t>无组织</w:t>
      </w:r>
      <w:r>
        <w:rPr>
          <w:rFonts w:hint="eastAsia" w:asciiTheme="minorEastAsia" w:hAnsiTheme="minorEastAsia" w:eastAsiaTheme="minorEastAsia" w:cstheme="minorEastAsia"/>
          <w:b/>
          <w:sz w:val="28"/>
          <w:szCs w:val="28"/>
        </w:rPr>
        <w:t>排放情况（t/a）</w:t>
      </w:r>
    </w:p>
    <w:tbl>
      <w:tblPr>
        <w:tblStyle w:val="20"/>
        <w:tblpPr w:leftFromText="180" w:rightFromText="180" w:vertAnchor="text" w:horzAnchor="margin" w:tblpXSpec="center" w:tblpY="270"/>
        <w:tblW w:w="80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507"/>
        <w:gridCol w:w="1118"/>
        <w:gridCol w:w="1241"/>
        <w:gridCol w:w="125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1788" w:type="dxa"/>
            <w:vAlign w:val="center"/>
          </w:tcPr>
          <w:p>
            <w:pPr>
              <w:spacing w:line="320" w:lineRule="exact"/>
              <w:jc w:val="center"/>
              <w:rPr>
                <w:sz w:val="24"/>
              </w:rPr>
            </w:pPr>
            <w:r>
              <w:rPr>
                <w:rFonts w:hAnsi="宋体"/>
                <w:sz w:val="24"/>
              </w:rPr>
              <w:t>污染源</w:t>
            </w:r>
          </w:p>
        </w:tc>
        <w:tc>
          <w:tcPr>
            <w:tcW w:w="1507" w:type="dxa"/>
            <w:vAlign w:val="center"/>
          </w:tcPr>
          <w:p>
            <w:pPr>
              <w:spacing w:line="320" w:lineRule="exact"/>
              <w:jc w:val="center"/>
              <w:rPr>
                <w:sz w:val="24"/>
              </w:rPr>
            </w:pPr>
            <w:r>
              <w:rPr>
                <w:rFonts w:hAnsi="宋体"/>
                <w:sz w:val="24"/>
              </w:rPr>
              <w:t>污染物</w:t>
            </w:r>
          </w:p>
          <w:p>
            <w:pPr>
              <w:spacing w:line="320" w:lineRule="exact"/>
              <w:jc w:val="center"/>
              <w:rPr>
                <w:sz w:val="24"/>
              </w:rPr>
            </w:pPr>
            <w:r>
              <w:rPr>
                <w:rFonts w:hAnsi="宋体"/>
                <w:sz w:val="24"/>
              </w:rPr>
              <w:t>名称</w:t>
            </w:r>
          </w:p>
        </w:tc>
        <w:tc>
          <w:tcPr>
            <w:tcW w:w="1118" w:type="dxa"/>
            <w:vAlign w:val="center"/>
          </w:tcPr>
          <w:p>
            <w:pPr>
              <w:spacing w:line="320" w:lineRule="exact"/>
              <w:jc w:val="center"/>
              <w:rPr>
                <w:sz w:val="24"/>
              </w:rPr>
            </w:pPr>
            <w:r>
              <w:rPr>
                <w:rFonts w:hAnsi="宋体"/>
                <w:sz w:val="24"/>
              </w:rPr>
              <w:t>产生量</w:t>
            </w:r>
          </w:p>
          <w:p>
            <w:pPr>
              <w:spacing w:line="320" w:lineRule="exact"/>
              <w:jc w:val="center"/>
              <w:rPr>
                <w:sz w:val="24"/>
              </w:rPr>
            </w:pPr>
            <w:r>
              <w:rPr>
                <w:sz w:val="24"/>
              </w:rPr>
              <w:t>(t/a)</w:t>
            </w:r>
          </w:p>
        </w:tc>
        <w:tc>
          <w:tcPr>
            <w:tcW w:w="1241" w:type="dxa"/>
            <w:vAlign w:val="center"/>
          </w:tcPr>
          <w:p>
            <w:pPr>
              <w:spacing w:line="320" w:lineRule="exact"/>
              <w:jc w:val="center"/>
              <w:rPr>
                <w:sz w:val="24"/>
              </w:rPr>
            </w:pPr>
            <w:r>
              <w:rPr>
                <w:rFonts w:hAnsi="宋体"/>
                <w:sz w:val="24"/>
              </w:rPr>
              <w:t>排放量</w:t>
            </w:r>
          </w:p>
          <w:p>
            <w:pPr>
              <w:spacing w:line="320" w:lineRule="exact"/>
              <w:jc w:val="center"/>
              <w:rPr>
                <w:sz w:val="24"/>
              </w:rPr>
            </w:pPr>
            <w:r>
              <w:rPr>
                <w:sz w:val="24"/>
              </w:rPr>
              <w:t>(t/a)</w:t>
            </w:r>
          </w:p>
        </w:tc>
        <w:tc>
          <w:tcPr>
            <w:tcW w:w="1254" w:type="dxa"/>
            <w:vAlign w:val="center"/>
          </w:tcPr>
          <w:p>
            <w:pPr>
              <w:spacing w:line="320" w:lineRule="exact"/>
              <w:jc w:val="center"/>
              <w:rPr>
                <w:sz w:val="24"/>
              </w:rPr>
            </w:pPr>
            <w:r>
              <w:rPr>
                <w:rFonts w:hAnsi="宋体"/>
                <w:sz w:val="24"/>
              </w:rPr>
              <w:t>面源面积</w:t>
            </w:r>
          </w:p>
          <w:p>
            <w:pPr>
              <w:spacing w:line="320" w:lineRule="exact"/>
              <w:jc w:val="center"/>
              <w:rPr>
                <w:sz w:val="24"/>
              </w:rPr>
            </w:pPr>
            <w:r>
              <w:rPr>
                <w:sz w:val="24"/>
              </w:rPr>
              <w:t>(m</w:t>
            </w:r>
            <w:r>
              <w:rPr>
                <w:sz w:val="24"/>
                <w:vertAlign w:val="superscript"/>
              </w:rPr>
              <w:t>2</w:t>
            </w:r>
            <w:r>
              <w:rPr>
                <w:sz w:val="24"/>
              </w:rPr>
              <w:t>)</w:t>
            </w:r>
          </w:p>
        </w:tc>
        <w:tc>
          <w:tcPr>
            <w:tcW w:w="1180" w:type="dxa"/>
            <w:vAlign w:val="center"/>
          </w:tcPr>
          <w:p>
            <w:pPr>
              <w:spacing w:line="320" w:lineRule="exact"/>
              <w:jc w:val="center"/>
              <w:rPr>
                <w:sz w:val="24"/>
              </w:rPr>
            </w:pPr>
            <w:r>
              <w:rPr>
                <w:rFonts w:hAnsi="宋体"/>
                <w:sz w:val="24"/>
              </w:rPr>
              <w:t>面源高度</w:t>
            </w:r>
          </w:p>
          <w:p>
            <w:pPr>
              <w:spacing w:line="320" w:lineRule="exact"/>
              <w:jc w:val="center"/>
              <w:rPr>
                <w:sz w:val="24"/>
              </w:rPr>
            </w:pPr>
            <w:r>
              <w:rPr>
                <w:sz w:val="24"/>
              </w:rPr>
              <w:t>(m</w:t>
            </w:r>
            <w:r>
              <w:rPr>
                <w:sz w:val="24"/>
                <w:vertAlign w:val="superscript"/>
              </w:rPr>
              <w:t>2</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788" w:type="dxa"/>
            <w:vAlign w:val="center"/>
          </w:tcPr>
          <w:p>
            <w:pPr>
              <w:spacing w:line="400" w:lineRule="exact"/>
              <w:jc w:val="center"/>
              <w:rPr>
                <w:rFonts w:hint="eastAsia"/>
                <w:sz w:val="24"/>
                <w:lang w:val="en-US" w:eastAsia="zh-CN"/>
              </w:rPr>
            </w:pPr>
            <w:r>
              <w:rPr>
                <w:rFonts w:hint="eastAsia"/>
                <w:sz w:val="24"/>
                <w:lang w:val="en-US" w:eastAsia="zh-CN"/>
              </w:rPr>
              <w:t>上胶工段</w:t>
            </w:r>
          </w:p>
        </w:tc>
        <w:tc>
          <w:tcPr>
            <w:tcW w:w="1507" w:type="dxa"/>
            <w:vAlign w:val="center"/>
          </w:tcPr>
          <w:p>
            <w:pPr>
              <w:spacing w:line="400" w:lineRule="exact"/>
              <w:jc w:val="center"/>
              <w:rPr>
                <w:rFonts w:hint="eastAsia"/>
                <w:sz w:val="24"/>
                <w:lang w:val="en-US" w:eastAsia="zh-CN"/>
              </w:rPr>
            </w:pPr>
            <w:r>
              <w:rPr>
                <w:rFonts w:hint="eastAsia"/>
                <w:sz w:val="24"/>
                <w:lang w:val="en-US" w:eastAsia="zh-CN"/>
              </w:rPr>
              <w:t>甲醛</w:t>
            </w:r>
          </w:p>
        </w:tc>
        <w:tc>
          <w:tcPr>
            <w:tcW w:w="1118" w:type="dxa"/>
            <w:vAlign w:val="center"/>
          </w:tcPr>
          <w:p>
            <w:pPr>
              <w:spacing w:line="320" w:lineRule="exact"/>
              <w:jc w:val="center"/>
              <w:rPr>
                <w:rFonts w:hint="eastAsia"/>
                <w:sz w:val="24"/>
                <w:lang w:val="en-US" w:eastAsia="zh-CN"/>
              </w:rPr>
            </w:pPr>
            <w:r>
              <w:rPr>
                <w:rFonts w:hint="eastAsia"/>
                <w:sz w:val="24"/>
                <w:lang w:val="en-US" w:eastAsia="zh-CN"/>
              </w:rPr>
              <w:t>0.0068</w:t>
            </w:r>
          </w:p>
        </w:tc>
        <w:tc>
          <w:tcPr>
            <w:tcW w:w="1241" w:type="dxa"/>
            <w:vAlign w:val="center"/>
          </w:tcPr>
          <w:p>
            <w:pPr>
              <w:spacing w:line="320" w:lineRule="exact"/>
              <w:jc w:val="center"/>
              <w:rPr>
                <w:rFonts w:hint="eastAsia"/>
                <w:sz w:val="24"/>
                <w:lang w:val="en-US" w:eastAsia="zh-CN"/>
              </w:rPr>
            </w:pPr>
            <w:r>
              <w:rPr>
                <w:rFonts w:hint="eastAsia"/>
                <w:sz w:val="24"/>
                <w:lang w:val="en-US" w:eastAsia="zh-CN"/>
              </w:rPr>
              <w:t>0.0068</w:t>
            </w:r>
          </w:p>
        </w:tc>
        <w:tc>
          <w:tcPr>
            <w:tcW w:w="1254" w:type="dxa"/>
            <w:vAlign w:val="center"/>
          </w:tcPr>
          <w:p>
            <w:pPr>
              <w:spacing w:line="320" w:lineRule="exact"/>
              <w:jc w:val="center"/>
              <w:rPr>
                <w:rFonts w:hint="eastAsia"/>
                <w:sz w:val="24"/>
                <w:lang w:val="en-US" w:eastAsia="zh-CN"/>
              </w:rPr>
            </w:pPr>
            <w:r>
              <w:rPr>
                <w:rFonts w:hint="eastAsia"/>
                <w:sz w:val="24"/>
                <w:lang w:val="en-US" w:eastAsia="zh-CN"/>
              </w:rPr>
              <w:t>2400</w:t>
            </w:r>
          </w:p>
        </w:tc>
        <w:tc>
          <w:tcPr>
            <w:tcW w:w="1180" w:type="dxa"/>
            <w:vAlign w:val="center"/>
          </w:tcPr>
          <w:p>
            <w:pPr>
              <w:spacing w:line="320" w:lineRule="exact"/>
              <w:jc w:val="center"/>
              <w:rPr>
                <w:rFonts w:hint="eastAsia"/>
                <w:sz w:val="24"/>
              </w:rPr>
            </w:pPr>
            <w:r>
              <w:rPr>
                <w:rFonts w:hint="eastAsia"/>
                <w:sz w:val="24"/>
              </w:rPr>
              <w:t>≤</w:t>
            </w:r>
            <w:r>
              <w:rPr>
                <w:rFonts w:hint="eastAsia"/>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788" w:type="dxa"/>
            <w:vAlign w:val="center"/>
          </w:tcPr>
          <w:p>
            <w:pPr>
              <w:spacing w:line="400" w:lineRule="exact"/>
              <w:jc w:val="center"/>
              <w:rPr>
                <w:rFonts w:hint="eastAsia" w:eastAsia="宋体"/>
                <w:sz w:val="24"/>
                <w:lang w:val="en-US" w:eastAsia="zh-CN"/>
              </w:rPr>
            </w:pPr>
            <w:r>
              <w:rPr>
                <w:rFonts w:hint="eastAsia"/>
                <w:sz w:val="24"/>
                <w:lang w:val="en-US" w:eastAsia="zh-CN"/>
              </w:rPr>
              <w:t>封蜡工段</w:t>
            </w:r>
          </w:p>
        </w:tc>
        <w:tc>
          <w:tcPr>
            <w:tcW w:w="1507" w:type="dxa"/>
            <w:vAlign w:val="center"/>
          </w:tcPr>
          <w:p>
            <w:pPr>
              <w:spacing w:line="400" w:lineRule="exact"/>
              <w:jc w:val="center"/>
              <w:rPr>
                <w:rFonts w:hint="eastAsia"/>
                <w:sz w:val="24"/>
                <w:lang w:val="en-US" w:eastAsia="zh-CN"/>
              </w:rPr>
            </w:pPr>
            <w:r>
              <w:rPr>
                <w:rFonts w:hint="eastAsia"/>
                <w:sz w:val="24"/>
                <w:lang w:val="en-US" w:eastAsia="zh-CN"/>
              </w:rPr>
              <w:t>非甲烷总烃</w:t>
            </w:r>
          </w:p>
        </w:tc>
        <w:tc>
          <w:tcPr>
            <w:tcW w:w="1118" w:type="dxa"/>
            <w:vAlign w:val="center"/>
          </w:tcPr>
          <w:p>
            <w:pPr>
              <w:spacing w:line="320" w:lineRule="exact"/>
              <w:jc w:val="center"/>
              <w:rPr>
                <w:rFonts w:hint="eastAsia"/>
                <w:sz w:val="24"/>
                <w:lang w:val="en-US" w:eastAsia="zh-CN"/>
              </w:rPr>
            </w:pPr>
            <w:r>
              <w:rPr>
                <w:rFonts w:hint="eastAsia"/>
                <w:sz w:val="24"/>
                <w:lang w:val="en-US" w:eastAsia="zh-CN"/>
              </w:rPr>
              <w:t>0.0016</w:t>
            </w:r>
          </w:p>
        </w:tc>
        <w:tc>
          <w:tcPr>
            <w:tcW w:w="1241" w:type="dxa"/>
            <w:vAlign w:val="center"/>
          </w:tcPr>
          <w:p>
            <w:pPr>
              <w:spacing w:line="320" w:lineRule="exact"/>
              <w:jc w:val="center"/>
              <w:rPr>
                <w:rFonts w:hint="eastAsia"/>
                <w:sz w:val="24"/>
                <w:lang w:val="en-US" w:eastAsia="zh-CN"/>
              </w:rPr>
            </w:pPr>
            <w:r>
              <w:rPr>
                <w:rFonts w:hint="eastAsia"/>
                <w:sz w:val="24"/>
                <w:lang w:val="en-US" w:eastAsia="zh-CN"/>
              </w:rPr>
              <w:t>0.0016</w:t>
            </w:r>
          </w:p>
        </w:tc>
        <w:tc>
          <w:tcPr>
            <w:tcW w:w="1254" w:type="dxa"/>
            <w:vAlign w:val="center"/>
          </w:tcPr>
          <w:p>
            <w:pPr>
              <w:spacing w:line="320" w:lineRule="exact"/>
              <w:jc w:val="center"/>
              <w:rPr>
                <w:rFonts w:hint="eastAsia"/>
                <w:sz w:val="24"/>
                <w:lang w:val="en-US" w:eastAsia="zh-CN"/>
              </w:rPr>
            </w:pPr>
            <w:r>
              <w:rPr>
                <w:rFonts w:hint="eastAsia"/>
                <w:sz w:val="24"/>
                <w:lang w:val="en-US" w:eastAsia="zh-CN"/>
              </w:rPr>
              <w:t>2400</w:t>
            </w:r>
          </w:p>
        </w:tc>
        <w:tc>
          <w:tcPr>
            <w:tcW w:w="1180" w:type="dxa"/>
            <w:vAlign w:val="center"/>
          </w:tcPr>
          <w:p>
            <w:pPr>
              <w:spacing w:line="320" w:lineRule="exact"/>
              <w:jc w:val="center"/>
              <w:rPr>
                <w:rFonts w:hint="eastAsia"/>
                <w:sz w:val="24"/>
              </w:rPr>
            </w:pPr>
            <w:r>
              <w:rPr>
                <w:rFonts w:hint="eastAsia"/>
                <w:sz w:val="24"/>
              </w:rPr>
              <w:t>≤</w:t>
            </w:r>
            <w:r>
              <w:rPr>
                <w:rFonts w:hint="eastAsia"/>
                <w:sz w:val="24"/>
                <w:lang w:val="en-US" w:eastAsia="zh-CN"/>
              </w:rPr>
              <w:t>10</w:t>
            </w:r>
          </w:p>
        </w:tc>
      </w:tr>
    </w:tbl>
    <w:p>
      <w:pPr>
        <w:pStyle w:val="32"/>
        <w:spacing w:before="156" w:after="156"/>
        <w:outlineLvl w:val="3"/>
        <w:rPr>
          <w:rFonts w:hint="eastAsia" w:asciiTheme="minorEastAsia" w:hAnsiTheme="minorEastAsia" w:eastAsiaTheme="minorEastAsia" w:cstheme="minorEastAsia"/>
        </w:rPr>
      </w:pPr>
    </w:p>
    <w:p>
      <w:pPr>
        <w:pStyle w:val="32"/>
        <w:spacing w:before="156" w:after="156"/>
        <w:outlineLvl w:val="3"/>
        <w:rPr>
          <w:rFonts w:hint="eastAsia" w:asciiTheme="minorEastAsia" w:hAnsiTheme="minorEastAsia" w:eastAsiaTheme="minorEastAsia" w:cstheme="minor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0"/>
        <w:tblpPr w:leftFromText="180" w:rightFromText="180" w:vertAnchor="page" w:horzAnchor="page" w:tblpX="1131" w:tblpY="2518"/>
        <w:tblOverlap w:val="never"/>
        <w:tblW w:w="15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40"/>
        <w:gridCol w:w="1130"/>
        <w:gridCol w:w="887"/>
        <w:gridCol w:w="834"/>
        <w:gridCol w:w="840"/>
        <w:gridCol w:w="840"/>
        <w:gridCol w:w="840"/>
        <w:gridCol w:w="1470"/>
        <w:gridCol w:w="630"/>
        <w:gridCol w:w="840"/>
        <w:gridCol w:w="945"/>
        <w:gridCol w:w="1050"/>
        <w:gridCol w:w="735"/>
        <w:gridCol w:w="840"/>
        <w:gridCol w:w="630"/>
        <w:gridCol w:w="525"/>
        <w:gridCol w:w="630"/>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18" w:hRule="atLeast"/>
        </w:trPr>
        <w:tc>
          <w:tcPr>
            <w:tcW w:w="940" w:type="dxa"/>
            <w:vMerge w:val="restart"/>
            <w:vAlign w:val="center"/>
          </w:tcPr>
          <w:p>
            <w:pPr>
              <w:jc w:val="center"/>
              <w:rPr>
                <w:spacing w:val="-10"/>
                <w:sz w:val="24"/>
              </w:rPr>
            </w:pPr>
            <w:r>
              <w:rPr>
                <w:rFonts w:hAnsi="宋体"/>
                <w:spacing w:val="-10"/>
                <w:sz w:val="24"/>
              </w:rPr>
              <w:t>排放源</w:t>
            </w:r>
          </w:p>
          <w:p>
            <w:pPr>
              <w:jc w:val="center"/>
              <w:rPr>
                <w:spacing w:val="-10"/>
                <w:sz w:val="24"/>
              </w:rPr>
            </w:pPr>
            <w:r>
              <w:rPr>
                <w:rFonts w:hAnsi="宋体"/>
                <w:spacing w:val="-10"/>
                <w:sz w:val="24"/>
              </w:rPr>
              <w:t>编号</w:t>
            </w:r>
          </w:p>
        </w:tc>
        <w:tc>
          <w:tcPr>
            <w:tcW w:w="1130" w:type="dxa"/>
            <w:vMerge w:val="restart"/>
            <w:vAlign w:val="center"/>
          </w:tcPr>
          <w:p>
            <w:pPr>
              <w:jc w:val="center"/>
              <w:rPr>
                <w:spacing w:val="-10"/>
                <w:sz w:val="24"/>
              </w:rPr>
            </w:pPr>
            <w:r>
              <w:rPr>
                <w:rFonts w:hAnsi="宋体"/>
                <w:spacing w:val="-10"/>
                <w:sz w:val="24"/>
              </w:rPr>
              <w:t>污染源</w:t>
            </w:r>
          </w:p>
        </w:tc>
        <w:tc>
          <w:tcPr>
            <w:tcW w:w="887" w:type="dxa"/>
            <w:vMerge w:val="restart"/>
            <w:vAlign w:val="center"/>
          </w:tcPr>
          <w:p>
            <w:pPr>
              <w:jc w:val="center"/>
              <w:rPr>
                <w:spacing w:val="-10"/>
                <w:sz w:val="24"/>
              </w:rPr>
            </w:pPr>
            <w:r>
              <w:rPr>
                <w:rFonts w:hAnsi="宋体"/>
                <w:spacing w:val="-10"/>
                <w:sz w:val="24"/>
              </w:rPr>
              <w:t>排气量</w:t>
            </w:r>
          </w:p>
          <w:p>
            <w:pPr>
              <w:jc w:val="center"/>
              <w:rPr>
                <w:spacing w:val="-10"/>
                <w:sz w:val="24"/>
                <w:vertAlign w:val="superscript"/>
              </w:rPr>
            </w:pPr>
            <w:r>
              <w:rPr>
                <w:rFonts w:hAnsi="宋体"/>
                <w:spacing w:val="-10"/>
                <w:sz w:val="24"/>
              </w:rPr>
              <w:t>（</w:t>
            </w:r>
            <w:r>
              <w:rPr>
                <w:spacing w:val="-10"/>
                <w:sz w:val="24"/>
              </w:rPr>
              <w:t>m</w:t>
            </w:r>
            <w:r>
              <w:rPr>
                <w:spacing w:val="-10"/>
                <w:sz w:val="24"/>
                <w:vertAlign w:val="superscript"/>
              </w:rPr>
              <w:t>3</w:t>
            </w:r>
            <w:r>
              <w:rPr>
                <w:spacing w:val="-10"/>
                <w:sz w:val="24"/>
              </w:rPr>
              <w:t>/h</w:t>
            </w:r>
            <w:r>
              <w:rPr>
                <w:rFonts w:hAnsi="宋体"/>
                <w:spacing w:val="-10"/>
                <w:sz w:val="24"/>
              </w:rPr>
              <w:t>）</w:t>
            </w:r>
          </w:p>
        </w:tc>
        <w:tc>
          <w:tcPr>
            <w:tcW w:w="834" w:type="dxa"/>
            <w:vMerge w:val="restart"/>
            <w:vAlign w:val="center"/>
          </w:tcPr>
          <w:p>
            <w:pPr>
              <w:jc w:val="center"/>
              <w:rPr>
                <w:spacing w:val="-10"/>
                <w:sz w:val="24"/>
              </w:rPr>
            </w:pPr>
            <w:r>
              <w:rPr>
                <w:rFonts w:hAnsi="宋体"/>
                <w:spacing w:val="-10"/>
                <w:sz w:val="24"/>
              </w:rPr>
              <w:t>污染物</w:t>
            </w:r>
          </w:p>
          <w:p>
            <w:pPr>
              <w:jc w:val="center"/>
              <w:rPr>
                <w:spacing w:val="-10"/>
                <w:sz w:val="24"/>
              </w:rPr>
            </w:pPr>
            <w:r>
              <w:rPr>
                <w:rFonts w:hAnsi="宋体"/>
                <w:spacing w:val="-10"/>
                <w:sz w:val="24"/>
              </w:rPr>
              <w:t>名称</w:t>
            </w:r>
          </w:p>
        </w:tc>
        <w:tc>
          <w:tcPr>
            <w:tcW w:w="2520" w:type="dxa"/>
            <w:gridSpan w:val="3"/>
            <w:vAlign w:val="center"/>
          </w:tcPr>
          <w:p>
            <w:pPr>
              <w:jc w:val="center"/>
              <w:rPr>
                <w:spacing w:val="-10"/>
                <w:sz w:val="24"/>
              </w:rPr>
            </w:pPr>
            <w:r>
              <w:rPr>
                <w:rFonts w:hAnsi="宋体"/>
                <w:spacing w:val="-10"/>
                <w:sz w:val="24"/>
              </w:rPr>
              <w:t>产生状况</w:t>
            </w:r>
          </w:p>
        </w:tc>
        <w:tc>
          <w:tcPr>
            <w:tcW w:w="1470" w:type="dxa"/>
            <w:vMerge w:val="restart"/>
            <w:vAlign w:val="center"/>
          </w:tcPr>
          <w:p>
            <w:pPr>
              <w:jc w:val="center"/>
              <w:rPr>
                <w:spacing w:val="-10"/>
                <w:sz w:val="24"/>
              </w:rPr>
            </w:pPr>
            <w:r>
              <w:rPr>
                <w:rFonts w:hAnsi="宋体"/>
                <w:spacing w:val="-10"/>
                <w:sz w:val="24"/>
              </w:rPr>
              <w:t>治理措施</w:t>
            </w:r>
          </w:p>
        </w:tc>
        <w:tc>
          <w:tcPr>
            <w:tcW w:w="630" w:type="dxa"/>
            <w:vMerge w:val="restart"/>
            <w:vAlign w:val="center"/>
          </w:tcPr>
          <w:p>
            <w:pPr>
              <w:jc w:val="center"/>
              <w:rPr>
                <w:spacing w:val="-10"/>
                <w:sz w:val="24"/>
              </w:rPr>
            </w:pPr>
            <w:r>
              <w:rPr>
                <w:rFonts w:hAnsi="宋体"/>
                <w:spacing w:val="-10"/>
                <w:sz w:val="24"/>
              </w:rPr>
              <w:t>去除率</w:t>
            </w:r>
          </w:p>
          <w:p>
            <w:pPr>
              <w:jc w:val="center"/>
              <w:rPr>
                <w:spacing w:val="-10"/>
                <w:sz w:val="24"/>
              </w:rPr>
            </w:pPr>
            <w:r>
              <w:rPr>
                <w:spacing w:val="-10"/>
                <w:sz w:val="24"/>
              </w:rPr>
              <w:t>(</w:t>
            </w:r>
            <w:r>
              <w:rPr>
                <w:rFonts w:hAnsi="宋体"/>
                <w:spacing w:val="-10"/>
                <w:sz w:val="24"/>
              </w:rPr>
              <w:t>％</w:t>
            </w:r>
            <w:r>
              <w:rPr>
                <w:spacing w:val="-10"/>
                <w:sz w:val="24"/>
              </w:rPr>
              <w:t>)</w:t>
            </w:r>
          </w:p>
        </w:tc>
        <w:tc>
          <w:tcPr>
            <w:tcW w:w="2835" w:type="dxa"/>
            <w:gridSpan w:val="3"/>
            <w:vAlign w:val="center"/>
          </w:tcPr>
          <w:p>
            <w:pPr>
              <w:jc w:val="center"/>
              <w:rPr>
                <w:spacing w:val="-10"/>
                <w:sz w:val="24"/>
              </w:rPr>
            </w:pPr>
            <w:r>
              <w:rPr>
                <w:rFonts w:hAnsi="宋体"/>
                <w:spacing w:val="-10"/>
                <w:sz w:val="24"/>
              </w:rPr>
              <w:t>排放状况</w:t>
            </w:r>
          </w:p>
        </w:tc>
        <w:tc>
          <w:tcPr>
            <w:tcW w:w="1575" w:type="dxa"/>
            <w:gridSpan w:val="2"/>
            <w:vAlign w:val="center"/>
          </w:tcPr>
          <w:p>
            <w:pPr>
              <w:jc w:val="center"/>
              <w:rPr>
                <w:spacing w:val="-10"/>
                <w:sz w:val="24"/>
              </w:rPr>
            </w:pPr>
            <w:r>
              <w:rPr>
                <w:rFonts w:hAnsi="宋体"/>
                <w:spacing w:val="-10"/>
                <w:sz w:val="24"/>
              </w:rPr>
              <w:t>执行标准</w:t>
            </w:r>
          </w:p>
        </w:tc>
        <w:tc>
          <w:tcPr>
            <w:tcW w:w="1785" w:type="dxa"/>
            <w:gridSpan w:val="3"/>
            <w:vAlign w:val="center"/>
          </w:tcPr>
          <w:p>
            <w:pPr>
              <w:jc w:val="center"/>
              <w:rPr>
                <w:spacing w:val="-10"/>
                <w:sz w:val="24"/>
              </w:rPr>
            </w:pPr>
            <w:r>
              <w:rPr>
                <w:rFonts w:hAnsi="宋体"/>
                <w:spacing w:val="-10"/>
                <w:sz w:val="24"/>
              </w:rPr>
              <w:t>排放源参数</w:t>
            </w:r>
          </w:p>
        </w:tc>
        <w:tc>
          <w:tcPr>
            <w:tcW w:w="525" w:type="dxa"/>
            <w:vMerge w:val="restart"/>
            <w:vAlign w:val="center"/>
          </w:tcPr>
          <w:p>
            <w:pPr>
              <w:jc w:val="center"/>
              <w:rPr>
                <w:spacing w:val="-10"/>
                <w:sz w:val="24"/>
              </w:rPr>
            </w:pPr>
            <w:r>
              <w:rPr>
                <w:rFonts w:hAnsi="宋体"/>
                <w:spacing w:val="-10"/>
                <w:sz w:val="24"/>
              </w:rPr>
              <w:t>排放</w:t>
            </w:r>
          </w:p>
          <w:p>
            <w:pPr>
              <w:jc w:val="center"/>
              <w:rPr>
                <w:spacing w:val="-10"/>
                <w:sz w:val="24"/>
              </w:rPr>
            </w:pPr>
            <w:r>
              <w:rPr>
                <w:rFonts w:hAnsi="宋体"/>
                <w:spacing w:val="-10"/>
                <w:sz w:val="24"/>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223" w:hRule="atLeast"/>
        </w:trPr>
        <w:tc>
          <w:tcPr>
            <w:tcW w:w="940" w:type="dxa"/>
            <w:vMerge w:val="continue"/>
            <w:vAlign w:val="center"/>
          </w:tcPr>
          <w:p>
            <w:pPr>
              <w:jc w:val="center"/>
              <w:rPr>
                <w:spacing w:val="-10"/>
                <w:sz w:val="24"/>
              </w:rPr>
            </w:pPr>
          </w:p>
        </w:tc>
        <w:tc>
          <w:tcPr>
            <w:tcW w:w="1130" w:type="dxa"/>
            <w:vMerge w:val="continue"/>
            <w:vAlign w:val="center"/>
          </w:tcPr>
          <w:p>
            <w:pPr>
              <w:jc w:val="center"/>
              <w:rPr>
                <w:spacing w:val="-10"/>
                <w:sz w:val="24"/>
              </w:rPr>
            </w:pPr>
          </w:p>
        </w:tc>
        <w:tc>
          <w:tcPr>
            <w:tcW w:w="887" w:type="dxa"/>
            <w:vMerge w:val="continue"/>
            <w:vAlign w:val="center"/>
          </w:tcPr>
          <w:p>
            <w:pPr>
              <w:jc w:val="center"/>
              <w:rPr>
                <w:spacing w:val="-10"/>
                <w:sz w:val="24"/>
              </w:rPr>
            </w:pPr>
          </w:p>
        </w:tc>
        <w:tc>
          <w:tcPr>
            <w:tcW w:w="834" w:type="dxa"/>
            <w:vMerge w:val="continue"/>
            <w:vAlign w:val="center"/>
          </w:tcPr>
          <w:p>
            <w:pPr>
              <w:jc w:val="center"/>
              <w:rPr>
                <w:spacing w:val="-10"/>
                <w:sz w:val="24"/>
              </w:rPr>
            </w:pPr>
          </w:p>
        </w:tc>
        <w:tc>
          <w:tcPr>
            <w:tcW w:w="840" w:type="dxa"/>
            <w:vAlign w:val="center"/>
          </w:tcPr>
          <w:p>
            <w:pPr>
              <w:spacing w:line="240" w:lineRule="exact"/>
              <w:jc w:val="center"/>
              <w:rPr>
                <w:spacing w:val="-10"/>
                <w:sz w:val="24"/>
              </w:rPr>
            </w:pPr>
            <w:r>
              <w:rPr>
                <w:rFonts w:hAnsi="宋体"/>
                <w:spacing w:val="-10"/>
                <w:sz w:val="24"/>
              </w:rPr>
              <w:t>浓度</w:t>
            </w:r>
          </w:p>
          <w:p>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840" w:type="dxa"/>
            <w:vAlign w:val="center"/>
          </w:tcPr>
          <w:p>
            <w:pPr>
              <w:spacing w:line="240" w:lineRule="exact"/>
              <w:jc w:val="center"/>
              <w:rPr>
                <w:spacing w:val="-10"/>
                <w:sz w:val="24"/>
              </w:rPr>
            </w:pPr>
            <w:r>
              <w:rPr>
                <w:rFonts w:hAnsi="宋体"/>
                <w:spacing w:val="-10"/>
                <w:sz w:val="24"/>
              </w:rPr>
              <w:t>速率</w:t>
            </w:r>
          </w:p>
          <w:p>
            <w:pPr>
              <w:spacing w:line="240" w:lineRule="exact"/>
              <w:jc w:val="center"/>
              <w:rPr>
                <w:spacing w:val="-10"/>
                <w:sz w:val="24"/>
              </w:rPr>
            </w:pPr>
            <w:r>
              <w:rPr>
                <w:spacing w:val="-10"/>
                <w:sz w:val="24"/>
              </w:rPr>
              <w:t>(kg/h)</w:t>
            </w:r>
          </w:p>
        </w:tc>
        <w:tc>
          <w:tcPr>
            <w:tcW w:w="840" w:type="dxa"/>
            <w:vAlign w:val="center"/>
          </w:tcPr>
          <w:p>
            <w:pPr>
              <w:spacing w:line="240" w:lineRule="exact"/>
              <w:jc w:val="center"/>
              <w:rPr>
                <w:spacing w:val="-10"/>
                <w:sz w:val="24"/>
              </w:rPr>
            </w:pPr>
            <w:r>
              <w:rPr>
                <w:rFonts w:hAnsi="宋体"/>
                <w:spacing w:val="-10"/>
                <w:sz w:val="24"/>
              </w:rPr>
              <w:t>产生量</w:t>
            </w:r>
          </w:p>
          <w:p>
            <w:pPr>
              <w:spacing w:line="240" w:lineRule="exact"/>
              <w:jc w:val="center"/>
              <w:rPr>
                <w:spacing w:val="-10"/>
                <w:sz w:val="24"/>
              </w:rPr>
            </w:pPr>
            <w:r>
              <w:rPr>
                <w:spacing w:val="-10"/>
                <w:sz w:val="24"/>
              </w:rPr>
              <w:t>(t/a)</w:t>
            </w:r>
          </w:p>
        </w:tc>
        <w:tc>
          <w:tcPr>
            <w:tcW w:w="1470" w:type="dxa"/>
            <w:vMerge w:val="continue"/>
            <w:vAlign w:val="center"/>
          </w:tcPr>
          <w:p>
            <w:pPr>
              <w:spacing w:line="240" w:lineRule="exact"/>
              <w:jc w:val="center"/>
              <w:rPr>
                <w:spacing w:val="-10"/>
                <w:sz w:val="24"/>
              </w:rPr>
            </w:pPr>
          </w:p>
        </w:tc>
        <w:tc>
          <w:tcPr>
            <w:tcW w:w="630" w:type="dxa"/>
            <w:vMerge w:val="continue"/>
            <w:vAlign w:val="center"/>
          </w:tcPr>
          <w:p>
            <w:pPr>
              <w:spacing w:line="240" w:lineRule="exact"/>
              <w:jc w:val="center"/>
              <w:rPr>
                <w:spacing w:val="-10"/>
                <w:sz w:val="24"/>
              </w:rPr>
            </w:pPr>
          </w:p>
        </w:tc>
        <w:tc>
          <w:tcPr>
            <w:tcW w:w="840" w:type="dxa"/>
            <w:vAlign w:val="center"/>
          </w:tcPr>
          <w:p>
            <w:pPr>
              <w:spacing w:line="240" w:lineRule="exact"/>
              <w:jc w:val="center"/>
              <w:rPr>
                <w:spacing w:val="-10"/>
                <w:sz w:val="24"/>
              </w:rPr>
            </w:pPr>
            <w:r>
              <w:rPr>
                <w:rFonts w:hAnsi="宋体"/>
                <w:spacing w:val="-10"/>
                <w:sz w:val="24"/>
              </w:rPr>
              <w:t>浓度</w:t>
            </w:r>
          </w:p>
          <w:p>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945" w:type="dxa"/>
            <w:vAlign w:val="center"/>
          </w:tcPr>
          <w:p>
            <w:pPr>
              <w:spacing w:line="240" w:lineRule="exact"/>
              <w:jc w:val="center"/>
              <w:rPr>
                <w:spacing w:val="-10"/>
                <w:sz w:val="24"/>
              </w:rPr>
            </w:pPr>
            <w:r>
              <w:rPr>
                <w:rFonts w:hAnsi="宋体"/>
                <w:spacing w:val="-10"/>
                <w:sz w:val="24"/>
              </w:rPr>
              <w:t>速率</w:t>
            </w:r>
          </w:p>
          <w:p>
            <w:pPr>
              <w:spacing w:line="240" w:lineRule="exact"/>
              <w:jc w:val="center"/>
              <w:rPr>
                <w:spacing w:val="-10"/>
                <w:sz w:val="24"/>
              </w:rPr>
            </w:pPr>
            <w:r>
              <w:rPr>
                <w:spacing w:val="-10"/>
                <w:sz w:val="24"/>
              </w:rPr>
              <w:t>(kg/h)</w:t>
            </w:r>
          </w:p>
        </w:tc>
        <w:tc>
          <w:tcPr>
            <w:tcW w:w="1050" w:type="dxa"/>
            <w:vAlign w:val="center"/>
          </w:tcPr>
          <w:p>
            <w:pPr>
              <w:spacing w:line="240" w:lineRule="exact"/>
              <w:jc w:val="center"/>
              <w:rPr>
                <w:spacing w:val="-10"/>
                <w:sz w:val="24"/>
              </w:rPr>
            </w:pPr>
            <w:r>
              <w:rPr>
                <w:rFonts w:hAnsi="宋体"/>
                <w:spacing w:val="-10"/>
                <w:sz w:val="24"/>
              </w:rPr>
              <w:t>排放量</w:t>
            </w:r>
          </w:p>
          <w:p>
            <w:pPr>
              <w:spacing w:line="240" w:lineRule="exact"/>
              <w:jc w:val="center"/>
              <w:rPr>
                <w:spacing w:val="-10"/>
                <w:sz w:val="24"/>
              </w:rPr>
            </w:pPr>
            <w:r>
              <w:rPr>
                <w:spacing w:val="-10"/>
                <w:sz w:val="24"/>
              </w:rPr>
              <w:t>(t/a)</w:t>
            </w:r>
          </w:p>
        </w:tc>
        <w:tc>
          <w:tcPr>
            <w:tcW w:w="735" w:type="dxa"/>
            <w:vAlign w:val="center"/>
          </w:tcPr>
          <w:p>
            <w:pPr>
              <w:spacing w:line="240" w:lineRule="exact"/>
              <w:jc w:val="center"/>
              <w:rPr>
                <w:spacing w:val="-10"/>
                <w:sz w:val="24"/>
              </w:rPr>
            </w:pPr>
            <w:r>
              <w:rPr>
                <w:rFonts w:hAnsi="宋体"/>
                <w:spacing w:val="-10"/>
                <w:sz w:val="24"/>
              </w:rPr>
              <w:t>浓度</w:t>
            </w:r>
          </w:p>
          <w:p>
            <w:pPr>
              <w:spacing w:line="240" w:lineRule="exact"/>
              <w:jc w:val="center"/>
              <w:rPr>
                <w:spacing w:val="-10"/>
                <w:sz w:val="24"/>
              </w:rPr>
            </w:pPr>
            <w:r>
              <w:rPr>
                <w:spacing w:val="-10"/>
                <w:sz w:val="24"/>
              </w:rPr>
              <w:t>mg/m</w:t>
            </w:r>
            <w:r>
              <w:rPr>
                <w:spacing w:val="-10"/>
                <w:sz w:val="24"/>
                <w:vertAlign w:val="superscript"/>
              </w:rPr>
              <w:t>3</w:t>
            </w:r>
          </w:p>
        </w:tc>
        <w:tc>
          <w:tcPr>
            <w:tcW w:w="840" w:type="dxa"/>
            <w:vAlign w:val="center"/>
          </w:tcPr>
          <w:p>
            <w:pPr>
              <w:spacing w:line="240" w:lineRule="exact"/>
              <w:jc w:val="center"/>
              <w:rPr>
                <w:spacing w:val="-10"/>
                <w:sz w:val="24"/>
              </w:rPr>
            </w:pPr>
            <w:r>
              <w:rPr>
                <w:rFonts w:hAnsi="宋体"/>
                <w:spacing w:val="-10"/>
                <w:sz w:val="24"/>
              </w:rPr>
              <w:t>速率</w:t>
            </w:r>
          </w:p>
          <w:p>
            <w:pPr>
              <w:spacing w:line="240" w:lineRule="exact"/>
              <w:jc w:val="center"/>
              <w:rPr>
                <w:spacing w:val="-10"/>
                <w:sz w:val="24"/>
              </w:rPr>
            </w:pPr>
            <w:r>
              <w:rPr>
                <w:spacing w:val="-10"/>
                <w:sz w:val="24"/>
              </w:rPr>
              <w:t>(kg/h)</w:t>
            </w:r>
          </w:p>
        </w:tc>
        <w:tc>
          <w:tcPr>
            <w:tcW w:w="630" w:type="dxa"/>
            <w:vAlign w:val="center"/>
          </w:tcPr>
          <w:p>
            <w:pPr>
              <w:spacing w:line="240" w:lineRule="exact"/>
              <w:jc w:val="center"/>
              <w:rPr>
                <w:spacing w:val="-10"/>
                <w:sz w:val="24"/>
              </w:rPr>
            </w:pPr>
            <w:r>
              <w:rPr>
                <w:rFonts w:hAnsi="宋体"/>
                <w:spacing w:val="-10"/>
                <w:sz w:val="24"/>
              </w:rPr>
              <w:t>高度</w:t>
            </w:r>
          </w:p>
          <w:p>
            <w:pPr>
              <w:spacing w:line="240" w:lineRule="exact"/>
              <w:jc w:val="center"/>
              <w:rPr>
                <w:spacing w:val="-10"/>
                <w:sz w:val="24"/>
              </w:rPr>
            </w:pPr>
            <w:r>
              <w:rPr>
                <w:spacing w:val="-10"/>
                <w:sz w:val="24"/>
              </w:rPr>
              <w:t>m</w:t>
            </w:r>
          </w:p>
        </w:tc>
        <w:tc>
          <w:tcPr>
            <w:tcW w:w="525" w:type="dxa"/>
            <w:vAlign w:val="center"/>
          </w:tcPr>
          <w:p>
            <w:pPr>
              <w:spacing w:line="240" w:lineRule="exact"/>
              <w:jc w:val="center"/>
              <w:rPr>
                <w:spacing w:val="-10"/>
                <w:sz w:val="24"/>
              </w:rPr>
            </w:pPr>
            <w:r>
              <w:rPr>
                <w:rFonts w:hAnsi="宋体"/>
                <w:spacing w:val="-10"/>
                <w:sz w:val="24"/>
              </w:rPr>
              <w:t>直径</w:t>
            </w:r>
          </w:p>
          <w:p>
            <w:pPr>
              <w:spacing w:line="240" w:lineRule="exact"/>
              <w:jc w:val="center"/>
              <w:rPr>
                <w:spacing w:val="-10"/>
                <w:sz w:val="24"/>
              </w:rPr>
            </w:pPr>
            <w:r>
              <w:rPr>
                <w:spacing w:val="-10"/>
                <w:sz w:val="24"/>
              </w:rPr>
              <w:t>m</w:t>
            </w:r>
          </w:p>
        </w:tc>
        <w:tc>
          <w:tcPr>
            <w:tcW w:w="630" w:type="dxa"/>
            <w:vAlign w:val="center"/>
          </w:tcPr>
          <w:p>
            <w:pPr>
              <w:spacing w:line="240" w:lineRule="exact"/>
              <w:jc w:val="center"/>
              <w:rPr>
                <w:spacing w:val="-10"/>
                <w:sz w:val="24"/>
              </w:rPr>
            </w:pPr>
            <w:r>
              <w:rPr>
                <w:rFonts w:hAnsi="宋体"/>
                <w:spacing w:val="-10"/>
                <w:sz w:val="24"/>
              </w:rPr>
              <w:t>温度</w:t>
            </w:r>
          </w:p>
          <w:p>
            <w:pPr>
              <w:spacing w:line="240" w:lineRule="exact"/>
              <w:jc w:val="center"/>
              <w:rPr>
                <w:spacing w:val="-10"/>
                <w:sz w:val="24"/>
              </w:rPr>
            </w:pPr>
            <w:r>
              <w:rPr>
                <w:rFonts w:hAnsi="宋体"/>
                <w:spacing w:val="-10"/>
                <w:sz w:val="24"/>
              </w:rPr>
              <w:t>℃</w:t>
            </w:r>
          </w:p>
        </w:tc>
        <w:tc>
          <w:tcPr>
            <w:tcW w:w="525" w:type="dxa"/>
            <w:vMerge w:val="continue"/>
            <w:vAlign w:val="center"/>
          </w:tcPr>
          <w:p>
            <w:pPr>
              <w:jc w:val="center"/>
              <w:rPr>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312" w:hRule="atLeast"/>
        </w:trPr>
        <w:tc>
          <w:tcPr>
            <w:tcW w:w="940" w:type="dxa"/>
            <w:vAlign w:val="center"/>
          </w:tcPr>
          <w:p>
            <w:pPr>
              <w:jc w:val="center"/>
              <w:rPr>
                <w:rFonts w:hint="eastAsia"/>
                <w:spacing w:val="-10"/>
                <w:sz w:val="24"/>
                <w:lang w:val="en-US" w:eastAsia="zh-CN"/>
              </w:rPr>
            </w:pPr>
            <w:r>
              <w:rPr>
                <w:spacing w:val="-10"/>
                <w:sz w:val="24"/>
              </w:rPr>
              <w:t>H</w:t>
            </w:r>
            <w:r>
              <w:rPr>
                <w:rFonts w:hint="eastAsia"/>
                <w:spacing w:val="-10"/>
                <w:sz w:val="24"/>
                <w:lang w:val="en-US" w:eastAsia="zh-CN"/>
              </w:rPr>
              <w:t>1</w:t>
            </w:r>
          </w:p>
          <w:p>
            <w:pPr>
              <w:jc w:val="center"/>
              <w:rPr>
                <w:spacing w:val="-10"/>
                <w:sz w:val="24"/>
              </w:rPr>
            </w:pPr>
            <w:r>
              <w:rPr>
                <w:rFonts w:hint="eastAsia"/>
                <w:spacing w:val="-10"/>
                <w:sz w:val="24"/>
                <w:lang w:val="en-US" w:eastAsia="zh-CN"/>
              </w:rPr>
              <w:t>H2</w:t>
            </w:r>
          </w:p>
        </w:tc>
        <w:tc>
          <w:tcPr>
            <w:tcW w:w="1130" w:type="dxa"/>
            <w:vAlign w:val="center"/>
          </w:tcPr>
          <w:p>
            <w:pPr>
              <w:jc w:val="center"/>
              <w:rPr>
                <w:spacing w:val="-10"/>
                <w:sz w:val="24"/>
              </w:rPr>
            </w:pPr>
            <w:r>
              <w:rPr>
                <w:rFonts w:hint="eastAsia"/>
                <w:spacing w:val="-10"/>
                <w:sz w:val="24"/>
              </w:rPr>
              <w:t>木加工</w:t>
            </w:r>
          </w:p>
        </w:tc>
        <w:tc>
          <w:tcPr>
            <w:tcW w:w="887" w:type="dxa"/>
            <w:vAlign w:val="center"/>
          </w:tcPr>
          <w:p>
            <w:pPr>
              <w:jc w:val="center"/>
              <w:rPr>
                <w:spacing w:val="-10"/>
                <w:sz w:val="24"/>
              </w:rPr>
            </w:pPr>
            <w:r>
              <w:rPr>
                <w:rFonts w:hint="eastAsia"/>
                <w:spacing w:val="-10"/>
                <w:sz w:val="24"/>
                <w:lang w:val="en-US" w:eastAsia="zh-CN"/>
              </w:rPr>
              <w:t>30000</w:t>
            </w:r>
          </w:p>
        </w:tc>
        <w:tc>
          <w:tcPr>
            <w:tcW w:w="834" w:type="dxa"/>
            <w:vAlign w:val="center"/>
          </w:tcPr>
          <w:p>
            <w:pPr>
              <w:jc w:val="center"/>
              <w:rPr>
                <w:rFonts w:hint="eastAsia" w:eastAsia="宋体"/>
                <w:spacing w:val="-10"/>
                <w:sz w:val="24"/>
                <w:lang w:eastAsia="zh-CN"/>
              </w:rPr>
            </w:pPr>
            <w:r>
              <w:rPr>
                <w:rFonts w:hint="eastAsia"/>
                <w:spacing w:val="-10"/>
                <w:sz w:val="24"/>
                <w:lang w:val="en-US" w:eastAsia="zh-CN"/>
              </w:rPr>
              <w:t>粉尘</w:t>
            </w:r>
          </w:p>
        </w:tc>
        <w:tc>
          <w:tcPr>
            <w:tcW w:w="840" w:type="dxa"/>
            <w:vAlign w:val="center"/>
          </w:tcPr>
          <w:p>
            <w:pPr>
              <w:jc w:val="center"/>
              <w:rPr>
                <w:rFonts w:hint="eastAsia"/>
                <w:spacing w:val="-10"/>
                <w:sz w:val="24"/>
                <w:lang w:val="en-US" w:eastAsia="zh-CN"/>
              </w:rPr>
            </w:pPr>
            <w:r>
              <w:rPr>
                <w:rFonts w:hint="eastAsia"/>
                <w:spacing w:val="-10"/>
                <w:sz w:val="24"/>
                <w:lang w:val="en-US" w:eastAsia="zh-CN"/>
              </w:rPr>
              <w:t>3310.33</w:t>
            </w:r>
          </w:p>
        </w:tc>
        <w:tc>
          <w:tcPr>
            <w:tcW w:w="840" w:type="dxa"/>
            <w:vAlign w:val="center"/>
          </w:tcPr>
          <w:p>
            <w:pPr>
              <w:jc w:val="center"/>
              <w:rPr>
                <w:rFonts w:hint="eastAsia"/>
                <w:spacing w:val="-10"/>
                <w:sz w:val="24"/>
                <w:lang w:val="en-US" w:eastAsia="zh-CN"/>
              </w:rPr>
            </w:pPr>
            <w:r>
              <w:rPr>
                <w:rFonts w:hint="eastAsia"/>
                <w:spacing w:val="-10"/>
                <w:sz w:val="24"/>
                <w:lang w:val="en-US" w:eastAsia="zh-CN"/>
              </w:rPr>
              <w:t>99.31</w:t>
            </w:r>
          </w:p>
        </w:tc>
        <w:tc>
          <w:tcPr>
            <w:tcW w:w="840" w:type="dxa"/>
            <w:vAlign w:val="center"/>
          </w:tcPr>
          <w:p>
            <w:pPr>
              <w:jc w:val="center"/>
              <w:rPr>
                <w:rFonts w:hint="eastAsia"/>
                <w:spacing w:val="-10"/>
                <w:sz w:val="24"/>
                <w:lang w:val="en-US" w:eastAsia="zh-CN"/>
              </w:rPr>
            </w:pPr>
            <w:r>
              <w:rPr>
                <w:rFonts w:hint="eastAsia"/>
                <w:spacing w:val="-10"/>
                <w:sz w:val="24"/>
                <w:lang w:val="en-US" w:eastAsia="zh-CN"/>
              </w:rPr>
              <w:t>715</w:t>
            </w:r>
          </w:p>
        </w:tc>
        <w:tc>
          <w:tcPr>
            <w:tcW w:w="1470" w:type="dxa"/>
            <w:vAlign w:val="center"/>
          </w:tcPr>
          <w:p>
            <w:pPr>
              <w:jc w:val="center"/>
              <w:rPr>
                <w:spacing w:val="-10"/>
                <w:sz w:val="24"/>
              </w:rPr>
            </w:pPr>
            <w:r>
              <w:rPr>
                <w:rFonts w:hint="eastAsia"/>
                <w:spacing w:val="-10"/>
                <w:sz w:val="24"/>
                <w:lang w:val="en-US" w:eastAsia="zh-CN"/>
              </w:rPr>
              <w:t>集气罩收集后经旋风分离器及脉冲式布袋除尘器处理后通过15m高排气筒高空排放</w:t>
            </w:r>
          </w:p>
        </w:tc>
        <w:tc>
          <w:tcPr>
            <w:tcW w:w="630" w:type="dxa"/>
            <w:vAlign w:val="center"/>
          </w:tcPr>
          <w:p>
            <w:pPr>
              <w:jc w:val="center"/>
              <w:rPr>
                <w:rFonts w:hint="eastAsia"/>
                <w:spacing w:val="-10"/>
                <w:sz w:val="24"/>
                <w:lang w:eastAsia="zh-CN"/>
              </w:rPr>
            </w:pPr>
            <w:r>
              <w:rPr>
                <w:rFonts w:hint="eastAsia"/>
                <w:spacing w:val="-10"/>
                <w:sz w:val="24"/>
                <w:lang w:val="en-US" w:eastAsia="zh-CN"/>
              </w:rPr>
              <w:t>99.5</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16.67</w:t>
            </w:r>
          </w:p>
        </w:tc>
        <w:tc>
          <w:tcPr>
            <w:tcW w:w="945" w:type="dxa"/>
            <w:textDirection w:val="lrTb"/>
            <w:vAlign w:val="center"/>
          </w:tcPr>
          <w:p>
            <w:pPr>
              <w:jc w:val="center"/>
              <w:rPr>
                <w:rFonts w:hint="eastAsia"/>
                <w:spacing w:val="-10"/>
                <w:sz w:val="24"/>
                <w:lang w:val="en-US" w:eastAsia="zh-CN"/>
              </w:rPr>
            </w:pPr>
            <w:r>
              <w:rPr>
                <w:rFonts w:hint="eastAsia"/>
                <w:spacing w:val="-10"/>
                <w:sz w:val="24"/>
                <w:lang w:val="en-US" w:eastAsia="zh-CN"/>
              </w:rPr>
              <w:t>0.50</w:t>
            </w:r>
          </w:p>
        </w:tc>
        <w:tc>
          <w:tcPr>
            <w:tcW w:w="1050" w:type="dxa"/>
            <w:textDirection w:val="lrTb"/>
            <w:vAlign w:val="center"/>
          </w:tcPr>
          <w:p>
            <w:pPr>
              <w:jc w:val="center"/>
              <w:rPr>
                <w:rFonts w:hint="eastAsia"/>
                <w:spacing w:val="-10"/>
                <w:sz w:val="24"/>
                <w:lang w:val="en-US" w:eastAsia="zh-CN"/>
              </w:rPr>
            </w:pPr>
            <w:r>
              <w:rPr>
                <w:rFonts w:hint="eastAsia"/>
                <w:spacing w:val="-10"/>
                <w:sz w:val="24"/>
                <w:lang w:val="en-US" w:eastAsia="zh-CN"/>
              </w:rPr>
              <w:t>3.58</w:t>
            </w:r>
          </w:p>
        </w:tc>
        <w:tc>
          <w:tcPr>
            <w:tcW w:w="735" w:type="dxa"/>
            <w:vAlign w:val="center"/>
          </w:tcPr>
          <w:p>
            <w:pPr>
              <w:jc w:val="center"/>
              <w:rPr>
                <w:rFonts w:hint="eastAsia" w:eastAsia="宋体"/>
                <w:spacing w:val="-10"/>
                <w:sz w:val="24"/>
                <w:lang w:val="en-US" w:eastAsia="zh-CN"/>
              </w:rPr>
            </w:pPr>
            <w:r>
              <w:rPr>
                <w:rFonts w:hint="eastAsia"/>
                <w:spacing w:val="-10"/>
                <w:sz w:val="24"/>
                <w:lang w:val="en-US" w:eastAsia="zh-CN"/>
              </w:rPr>
              <w:t>120</w:t>
            </w:r>
          </w:p>
        </w:tc>
        <w:tc>
          <w:tcPr>
            <w:tcW w:w="840" w:type="dxa"/>
            <w:vAlign w:val="center"/>
          </w:tcPr>
          <w:p>
            <w:pPr>
              <w:jc w:val="center"/>
              <w:rPr>
                <w:rFonts w:hint="eastAsia" w:eastAsia="宋体"/>
                <w:spacing w:val="-10"/>
                <w:sz w:val="24"/>
                <w:lang w:val="en-US" w:eastAsia="zh-CN"/>
              </w:rPr>
            </w:pPr>
            <w:r>
              <w:rPr>
                <w:rFonts w:hint="eastAsia"/>
                <w:spacing w:val="-10"/>
                <w:sz w:val="24"/>
                <w:lang w:val="en-US" w:eastAsia="zh-CN"/>
              </w:rPr>
              <w:t>3.5</w:t>
            </w:r>
          </w:p>
        </w:tc>
        <w:tc>
          <w:tcPr>
            <w:tcW w:w="630" w:type="dxa"/>
            <w:vAlign w:val="center"/>
          </w:tcPr>
          <w:p>
            <w:pPr>
              <w:jc w:val="center"/>
              <w:rPr>
                <w:spacing w:val="-10"/>
                <w:sz w:val="24"/>
              </w:rPr>
            </w:pPr>
            <w:r>
              <w:rPr>
                <w:spacing w:val="-10"/>
                <w:sz w:val="24"/>
              </w:rPr>
              <w:t>1</w:t>
            </w:r>
            <w:r>
              <w:rPr>
                <w:rFonts w:hint="eastAsia"/>
                <w:spacing w:val="-10"/>
                <w:sz w:val="24"/>
                <w:lang w:val="en-US" w:eastAsia="zh-CN"/>
              </w:rPr>
              <w:t>5</w:t>
            </w:r>
          </w:p>
        </w:tc>
        <w:tc>
          <w:tcPr>
            <w:tcW w:w="525" w:type="dxa"/>
            <w:vAlign w:val="center"/>
          </w:tcPr>
          <w:p>
            <w:pPr>
              <w:jc w:val="center"/>
              <w:rPr>
                <w:spacing w:val="-10"/>
                <w:sz w:val="24"/>
              </w:rPr>
            </w:pPr>
            <w:r>
              <w:rPr>
                <w:rFonts w:hint="eastAsia"/>
                <w:spacing w:val="-10"/>
                <w:sz w:val="24"/>
                <w:lang w:val="en-US" w:eastAsia="zh-CN"/>
              </w:rPr>
              <w:t>0</w:t>
            </w:r>
            <w:r>
              <w:rPr>
                <w:spacing w:val="-10"/>
                <w:sz w:val="24"/>
              </w:rPr>
              <w:t>.</w:t>
            </w:r>
            <w:r>
              <w:rPr>
                <w:rFonts w:hint="eastAsia"/>
                <w:spacing w:val="-10"/>
                <w:sz w:val="24"/>
                <w:lang w:val="en-US" w:eastAsia="zh-CN"/>
              </w:rPr>
              <w:t>5</w:t>
            </w:r>
          </w:p>
        </w:tc>
        <w:tc>
          <w:tcPr>
            <w:tcW w:w="630" w:type="dxa"/>
            <w:vAlign w:val="center"/>
          </w:tcPr>
          <w:p>
            <w:pPr>
              <w:jc w:val="center"/>
              <w:rPr>
                <w:spacing w:val="-10"/>
                <w:sz w:val="24"/>
              </w:rPr>
            </w:pPr>
            <w:r>
              <w:rPr>
                <w:spacing w:val="-10"/>
                <w:sz w:val="24"/>
              </w:rPr>
              <w:t>常温</w:t>
            </w:r>
          </w:p>
        </w:tc>
        <w:tc>
          <w:tcPr>
            <w:tcW w:w="525" w:type="dxa"/>
            <w:vAlign w:val="center"/>
          </w:tcPr>
          <w:p>
            <w:pPr>
              <w:jc w:val="center"/>
              <w:rPr>
                <w:spacing w:val="-10"/>
                <w:sz w:val="24"/>
              </w:rPr>
            </w:pPr>
            <w:r>
              <w:rPr>
                <w:spacing w:val="-10"/>
                <w:sz w:val="24"/>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27" w:hRule="atLeast"/>
        </w:trPr>
        <w:tc>
          <w:tcPr>
            <w:tcW w:w="940" w:type="dxa"/>
            <w:vAlign w:val="center"/>
          </w:tcPr>
          <w:p>
            <w:pPr>
              <w:jc w:val="center"/>
              <w:rPr>
                <w:rFonts w:hint="eastAsia"/>
                <w:spacing w:val="-10"/>
                <w:sz w:val="24"/>
                <w:lang w:val="en-US" w:eastAsia="zh-CN"/>
              </w:rPr>
            </w:pPr>
            <w:r>
              <w:rPr>
                <w:rFonts w:hint="eastAsia"/>
                <w:spacing w:val="-10"/>
                <w:sz w:val="24"/>
                <w:lang w:val="en-US" w:eastAsia="zh-CN"/>
              </w:rPr>
              <w:t>H3</w:t>
            </w:r>
          </w:p>
          <w:p>
            <w:pPr>
              <w:jc w:val="center"/>
              <w:rPr>
                <w:rFonts w:hint="eastAsia"/>
                <w:spacing w:val="-10"/>
                <w:sz w:val="24"/>
                <w:lang w:val="en-US" w:eastAsia="zh-CN"/>
              </w:rPr>
            </w:pPr>
            <w:r>
              <w:rPr>
                <w:rFonts w:hint="eastAsia"/>
                <w:spacing w:val="-10"/>
                <w:sz w:val="24"/>
                <w:lang w:val="en-US" w:eastAsia="zh-CN"/>
              </w:rPr>
              <w:t>H4</w:t>
            </w:r>
          </w:p>
        </w:tc>
        <w:tc>
          <w:tcPr>
            <w:tcW w:w="1130" w:type="dxa"/>
            <w:textDirection w:val="lrTb"/>
            <w:vAlign w:val="center"/>
          </w:tcPr>
          <w:p>
            <w:pPr>
              <w:jc w:val="center"/>
              <w:rPr>
                <w:rFonts w:hint="eastAsia"/>
                <w:spacing w:val="-10"/>
                <w:sz w:val="24"/>
                <w:lang w:val="en-US" w:eastAsia="zh-CN"/>
              </w:rPr>
            </w:pPr>
            <w:r>
              <w:rPr>
                <w:rFonts w:hint="eastAsia"/>
                <w:spacing w:val="-10"/>
                <w:sz w:val="24"/>
                <w:lang w:val="en-US" w:eastAsia="zh-CN"/>
              </w:rPr>
              <w:t>上胶工段</w:t>
            </w:r>
          </w:p>
        </w:tc>
        <w:tc>
          <w:tcPr>
            <w:tcW w:w="887" w:type="dxa"/>
            <w:textDirection w:val="lrTb"/>
            <w:vAlign w:val="center"/>
          </w:tcPr>
          <w:p>
            <w:pPr>
              <w:jc w:val="center"/>
              <w:rPr>
                <w:rFonts w:hint="eastAsia"/>
                <w:spacing w:val="-10"/>
                <w:sz w:val="24"/>
                <w:lang w:val="en-US" w:eastAsia="zh-CN"/>
              </w:rPr>
            </w:pPr>
            <w:r>
              <w:rPr>
                <w:rFonts w:hint="eastAsia"/>
                <w:spacing w:val="-10"/>
                <w:sz w:val="24"/>
                <w:lang w:val="en-US" w:eastAsia="zh-CN"/>
              </w:rPr>
              <w:t>30000</w:t>
            </w:r>
          </w:p>
        </w:tc>
        <w:tc>
          <w:tcPr>
            <w:tcW w:w="834" w:type="dxa"/>
            <w:textDirection w:val="lrTb"/>
            <w:vAlign w:val="center"/>
          </w:tcPr>
          <w:p>
            <w:pPr>
              <w:jc w:val="both"/>
              <w:rPr>
                <w:rFonts w:hint="eastAsia"/>
                <w:spacing w:val="-10"/>
                <w:sz w:val="24"/>
                <w:lang w:val="en-US" w:eastAsia="zh-CN"/>
              </w:rPr>
            </w:pPr>
          </w:p>
          <w:p>
            <w:pPr>
              <w:jc w:val="center"/>
              <w:rPr>
                <w:rFonts w:hint="eastAsia"/>
                <w:spacing w:val="-10"/>
                <w:sz w:val="24"/>
                <w:lang w:val="en-US" w:eastAsia="zh-CN"/>
              </w:rPr>
            </w:pPr>
            <w:r>
              <w:rPr>
                <w:rFonts w:hint="eastAsia"/>
                <w:spacing w:val="-10"/>
                <w:sz w:val="24"/>
                <w:lang w:val="en-US" w:eastAsia="zh-CN"/>
              </w:rPr>
              <w:t>甲醛</w:t>
            </w:r>
          </w:p>
          <w:p>
            <w:pPr>
              <w:jc w:val="center"/>
              <w:rPr>
                <w:rFonts w:hint="eastAsia"/>
                <w:spacing w:val="-10"/>
                <w:sz w:val="24"/>
                <w:lang w:val="en-US" w:eastAsia="zh-CN"/>
              </w:rPr>
            </w:pP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1.57</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0.047</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0.34</w:t>
            </w:r>
          </w:p>
        </w:tc>
        <w:tc>
          <w:tcPr>
            <w:tcW w:w="1470" w:type="dxa"/>
            <w:vAlign w:val="center"/>
          </w:tcPr>
          <w:p>
            <w:pPr>
              <w:jc w:val="center"/>
              <w:rPr>
                <w:rFonts w:hint="eastAsia"/>
                <w:spacing w:val="-10"/>
                <w:sz w:val="24"/>
                <w:lang w:val="en-US" w:eastAsia="zh-CN"/>
              </w:rPr>
            </w:pPr>
            <w:r>
              <w:rPr>
                <w:rFonts w:hint="eastAsia"/>
                <w:spacing w:val="-10"/>
                <w:sz w:val="24"/>
                <w:lang w:val="en-US" w:eastAsia="zh-CN"/>
              </w:rPr>
              <w:t>通过收尘除尘系统的通风机引出后由15m高的排气筒高空排放</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0</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1.57</w:t>
            </w:r>
          </w:p>
        </w:tc>
        <w:tc>
          <w:tcPr>
            <w:tcW w:w="945" w:type="dxa"/>
            <w:textDirection w:val="lrTb"/>
            <w:vAlign w:val="center"/>
          </w:tcPr>
          <w:p>
            <w:pPr>
              <w:jc w:val="center"/>
              <w:rPr>
                <w:rFonts w:hint="eastAsia"/>
                <w:spacing w:val="-10"/>
                <w:sz w:val="24"/>
                <w:lang w:val="en-US" w:eastAsia="zh-CN"/>
              </w:rPr>
            </w:pPr>
            <w:r>
              <w:rPr>
                <w:rFonts w:hint="eastAsia"/>
                <w:spacing w:val="-10"/>
                <w:sz w:val="24"/>
                <w:lang w:val="en-US" w:eastAsia="zh-CN"/>
              </w:rPr>
              <w:t>0.047</w:t>
            </w:r>
          </w:p>
        </w:tc>
        <w:tc>
          <w:tcPr>
            <w:tcW w:w="1050" w:type="dxa"/>
            <w:textDirection w:val="lrTb"/>
            <w:vAlign w:val="center"/>
          </w:tcPr>
          <w:p>
            <w:pPr>
              <w:jc w:val="center"/>
              <w:rPr>
                <w:rFonts w:hint="eastAsia"/>
                <w:spacing w:val="-10"/>
                <w:sz w:val="24"/>
                <w:lang w:val="en-US" w:eastAsia="zh-CN"/>
              </w:rPr>
            </w:pPr>
            <w:r>
              <w:rPr>
                <w:rFonts w:hint="eastAsia"/>
                <w:spacing w:val="-10"/>
                <w:sz w:val="24"/>
                <w:lang w:val="en-US" w:eastAsia="zh-CN"/>
              </w:rPr>
              <w:t>0.34</w:t>
            </w:r>
          </w:p>
        </w:tc>
        <w:tc>
          <w:tcPr>
            <w:tcW w:w="735" w:type="dxa"/>
            <w:textDirection w:val="lrTb"/>
            <w:vAlign w:val="center"/>
          </w:tcPr>
          <w:p>
            <w:pPr>
              <w:jc w:val="center"/>
              <w:rPr>
                <w:rFonts w:hint="eastAsia"/>
                <w:spacing w:val="-10"/>
                <w:sz w:val="24"/>
                <w:lang w:val="en-US" w:eastAsia="zh-CN"/>
              </w:rPr>
            </w:pPr>
          </w:p>
          <w:p>
            <w:pPr>
              <w:jc w:val="center"/>
              <w:rPr>
                <w:rFonts w:hint="eastAsia"/>
                <w:spacing w:val="-10"/>
                <w:sz w:val="24"/>
                <w:lang w:val="en-US" w:eastAsia="zh-CN"/>
              </w:rPr>
            </w:pPr>
            <w:r>
              <w:rPr>
                <w:rFonts w:hint="eastAsia"/>
                <w:spacing w:val="-10"/>
                <w:sz w:val="24"/>
                <w:lang w:val="en-US" w:eastAsia="zh-CN"/>
              </w:rPr>
              <w:t>25</w:t>
            </w:r>
          </w:p>
          <w:p>
            <w:pPr>
              <w:jc w:val="center"/>
              <w:rPr>
                <w:rFonts w:hint="eastAsia"/>
                <w:spacing w:val="-10"/>
                <w:sz w:val="24"/>
                <w:lang w:val="en-US" w:eastAsia="zh-CN"/>
              </w:rPr>
            </w:pPr>
          </w:p>
        </w:tc>
        <w:tc>
          <w:tcPr>
            <w:tcW w:w="840" w:type="dxa"/>
            <w:textDirection w:val="lrTb"/>
            <w:vAlign w:val="center"/>
          </w:tcPr>
          <w:p>
            <w:pPr>
              <w:jc w:val="center"/>
              <w:rPr>
                <w:rFonts w:hint="eastAsia"/>
                <w:spacing w:val="-10"/>
                <w:sz w:val="24"/>
                <w:lang w:val="en-US" w:eastAsia="zh-CN"/>
              </w:rPr>
            </w:pPr>
          </w:p>
          <w:p>
            <w:pPr>
              <w:jc w:val="center"/>
              <w:rPr>
                <w:rFonts w:hint="eastAsia"/>
                <w:spacing w:val="-10"/>
                <w:sz w:val="24"/>
                <w:lang w:val="en-US" w:eastAsia="zh-CN"/>
              </w:rPr>
            </w:pPr>
            <w:r>
              <w:rPr>
                <w:rFonts w:hint="eastAsia"/>
                <w:spacing w:val="-10"/>
                <w:sz w:val="24"/>
                <w:lang w:val="en-US" w:eastAsia="zh-CN"/>
              </w:rPr>
              <w:t>0.26</w:t>
            </w:r>
          </w:p>
          <w:p>
            <w:pPr>
              <w:jc w:val="center"/>
              <w:rPr>
                <w:rFonts w:hint="eastAsia"/>
                <w:spacing w:val="-10"/>
                <w:sz w:val="24"/>
                <w:lang w:val="en-US" w:eastAsia="zh-CN"/>
              </w:rPr>
            </w:pP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15</w:t>
            </w:r>
          </w:p>
        </w:tc>
        <w:tc>
          <w:tcPr>
            <w:tcW w:w="525" w:type="dxa"/>
            <w:textDirection w:val="lrTb"/>
            <w:vAlign w:val="center"/>
          </w:tcPr>
          <w:p>
            <w:pPr>
              <w:jc w:val="center"/>
              <w:rPr>
                <w:rFonts w:hint="eastAsia"/>
                <w:spacing w:val="-10"/>
                <w:sz w:val="24"/>
                <w:lang w:val="en-US" w:eastAsia="zh-CN"/>
              </w:rPr>
            </w:pPr>
            <w:r>
              <w:rPr>
                <w:rFonts w:hint="eastAsia"/>
                <w:spacing w:val="-10"/>
                <w:sz w:val="24"/>
                <w:lang w:val="en-US" w:eastAsia="zh-CN"/>
              </w:rPr>
              <w:t>0.5</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常温</w:t>
            </w:r>
          </w:p>
        </w:tc>
        <w:tc>
          <w:tcPr>
            <w:tcW w:w="525" w:type="dxa"/>
            <w:textDirection w:val="lrTb"/>
            <w:vAlign w:val="center"/>
          </w:tcPr>
          <w:p>
            <w:pPr>
              <w:jc w:val="center"/>
              <w:rPr>
                <w:rFonts w:hint="eastAsia"/>
                <w:spacing w:val="-10"/>
                <w:sz w:val="24"/>
                <w:lang w:val="en-US" w:eastAsia="zh-CN"/>
              </w:rPr>
            </w:pPr>
            <w:r>
              <w:rPr>
                <w:rFonts w:hint="eastAsia"/>
                <w:spacing w:val="-10"/>
                <w:sz w:val="24"/>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27" w:hRule="atLeast"/>
        </w:trPr>
        <w:tc>
          <w:tcPr>
            <w:tcW w:w="940" w:type="dxa"/>
            <w:vAlign w:val="center"/>
          </w:tcPr>
          <w:p>
            <w:pPr>
              <w:jc w:val="center"/>
              <w:rPr>
                <w:rFonts w:hint="eastAsia"/>
                <w:spacing w:val="-10"/>
                <w:sz w:val="24"/>
                <w:lang w:val="en-US" w:eastAsia="zh-CN"/>
              </w:rPr>
            </w:pPr>
            <w:r>
              <w:rPr>
                <w:rFonts w:hint="eastAsia"/>
                <w:spacing w:val="-10"/>
                <w:sz w:val="24"/>
                <w:lang w:val="en-US" w:eastAsia="zh-CN"/>
              </w:rPr>
              <w:t>H5</w:t>
            </w:r>
          </w:p>
        </w:tc>
        <w:tc>
          <w:tcPr>
            <w:tcW w:w="1130" w:type="dxa"/>
            <w:textDirection w:val="lrTb"/>
            <w:vAlign w:val="center"/>
          </w:tcPr>
          <w:p>
            <w:pPr>
              <w:jc w:val="center"/>
              <w:rPr>
                <w:rFonts w:hint="eastAsia"/>
                <w:spacing w:val="-10"/>
                <w:sz w:val="24"/>
                <w:lang w:val="en-US" w:eastAsia="zh-CN"/>
              </w:rPr>
            </w:pPr>
            <w:r>
              <w:rPr>
                <w:rFonts w:hint="eastAsia"/>
                <w:spacing w:val="-10"/>
                <w:sz w:val="24"/>
                <w:lang w:val="en-US" w:eastAsia="zh-CN"/>
              </w:rPr>
              <w:t>封蜡工段</w:t>
            </w:r>
          </w:p>
        </w:tc>
        <w:tc>
          <w:tcPr>
            <w:tcW w:w="887" w:type="dxa"/>
            <w:textDirection w:val="lrTb"/>
            <w:vAlign w:val="center"/>
          </w:tcPr>
          <w:p>
            <w:pPr>
              <w:jc w:val="center"/>
              <w:rPr>
                <w:rFonts w:hint="eastAsia"/>
                <w:spacing w:val="-10"/>
                <w:sz w:val="24"/>
                <w:lang w:val="en-US" w:eastAsia="zh-CN"/>
              </w:rPr>
            </w:pPr>
            <w:r>
              <w:rPr>
                <w:rFonts w:hint="eastAsia"/>
                <w:spacing w:val="-10"/>
                <w:sz w:val="24"/>
                <w:lang w:val="en-US" w:eastAsia="zh-CN"/>
              </w:rPr>
              <w:t>30000</w:t>
            </w:r>
          </w:p>
        </w:tc>
        <w:tc>
          <w:tcPr>
            <w:tcW w:w="834" w:type="dxa"/>
            <w:textDirection w:val="lrTb"/>
            <w:vAlign w:val="center"/>
          </w:tcPr>
          <w:p>
            <w:pPr>
              <w:jc w:val="center"/>
              <w:rPr>
                <w:rFonts w:hint="eastAsia"/>
                <w:spacing w:val="-10"/>
                <w:sz w:val="24"/>
                <w:lang w:val="en-US" w:eastAsia="zh-CN"/>
              </w:rPr>
            </w:pPr>
            <w:r>
              <w:rPr>
                <w:rFonts w:hint="eastAsia"/>
                <w:spacing w:val="-10"/>
                <w:sz w:val="24"/>
                <w:lang w:val="en-US" w:eastAsia="zh-CN"/>
              </w:rPr>
              <w:t>非甲烷总烃</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0.74</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0.022</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0.16</w:t>
            </w:r>
          </w:p>
        </w:tc>
        <w:tc>
          <w:tcPr>
            <w:tcW w:w="1470" w:type="dxa"/>
            <w:vAlign w:val="center"/>
          </w:tcPr>
          <w:p>
            <w:pPr>
              <w:jc w:val="center"/>
              <w:rPr>
                <w:rFonts w:hint="eastAsia"/>
                <w:spacing w:val="-10"/>
                <w:sz w:val="24"/>
                <w:lang w:val="en-US" w:eastAsia="zh-CN"/>
              </w:rPr>
            </w:pPr>
            <w:r>
              <w:rPr>
                <w:rFonts w:hint="eastAsia"/>
                <w:spacing w:val="-10"/>
                <w:sz w:val="24"/>
                <w:lang w:val="en-US" w:eastAsia="zh-CN"/>
              </w:rPr>
              <w:t>通过收尘除尘系统的通风机引出后由15m高的排气筒高空排放</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0</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0.74</w:t>
            </w:r>
          </w:p>
        </w:tc>
        <w:tc>
          <w:tcPr>
            <w:tcW w:w="945" w:type="dxa"/>
            <w:textDirection w:val="lrTb"/>
            <w:vAlign w:val="center"/>
          </w:tcPr>
          <w:p>
            <w:pPr>
              <w:jc w:val="center"/>
              <w:rPr>
                <w:rFonts w:hint="eastAsia"/>
                <w:spacing w:val="-10"/>
                <w:sz w:val="24"/>
                <w:lang w:val="en-US" w:eastAsia="zh-CN"/>
              </w:rPr>
            </w:pPr>
            <w:r>
              <w:rPr>
                <w:rFonts w:hint="eastAsia"/>
                <w:spacing w:val="-10"/>
                <w:sz w:val="24"/>
                <w:lang w:val="en-US" w:eastAsia="zh-CN"/>
              </w:rPr>
              <w:t>0.022</w:t>
            </w:r>
          </w:p>
        </w:tc>
        <w:tc>
          <w:tcPr>
            <w:tcW w:w="1050" w:type="dxa"/>
            <w:textDirection w:val="lrTb"/>
            <w:vAlign w:val="center"/>
          </w:tcPr>
          <w:p>
            <w:pPr>
              <w:jc w:val="center"/>
              <w:rPr>
                <w:rFonts w:hint="eastAsia"/>
                <w:spacing w:val="-10"/>
                <w:sz w:val="24"/>
                <w:lang w:val="en-US" w:eastAsia="zh-CN"/>
              </w:rPr>
            </w:pPr>
            <w:r>
              <w:rPr>
                <w:rFonts w:hint="eastAsia"/>
                <w:spacing w:val="-10"/>
                <w:sz w:val="24"/>
                <w:lang w:val="en-US" w:eastAsia="zh-CN"/>
              </w:rPr>
              <w:t>0.16</w:t>
            </w:r>
          </w:p>
        </w:tc>
        <w:tc>
          <w:tcPr>
            <w:tcW w:w="735" w:type="dxa"/>
            <w:textDirection w:val="lrTb"/>
            <w:vAlign w:val="center"/>
          </w:tcPr>
          <w:p>
            <w:pPr>
              <w:jc w:val="center"/>
              <w:rPr>
                <w:rFonts w:hint="eastAsia"/>
                <w:spacing w:val="-10"/>
                <w:sz w:val="24"/>
                <w:lang w:val="en-US" w:eastAsia="zh-CN"/>
              </w:rPr>
            </w:pPr>
            <w:r>
              <w:rPr>
                <w:rFonts w:hint="eastAsia"/>
                <w:spacing w:val="-10"/>
                <w:sz w:val="24"/>
                <w:lang w:val="en-US" w:eastAsia="zh-CN"/>
              </w:rPr>
              <w:t>120</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10</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15</w:t>
            </w:r>
          </w:p>
        </w:tc>
        <w:tc>
          <w:tcPr>
            <w:tcW w:w="525" w:type="dxa"/>
            <w:textDirection w:val="lrTb"/>
            <w:vAlign w:val="center"/>
          </w:tcPr>
          <w:p>
            <w:pPr>
              <w:jc w:val="center"/>
              <w:rPr>
                <w:rFonts w:hint="eastAsia"/>
                <w:spacing w:val="-10"/>
                <w:sz w:val="24"/>
                <w:lang w:val="en-US" w:eastAsia="zh-CN"/>
              </w:rPr>
            </w:pPr>
            <w:r>
              <w:rPr>
                <w:rFonts w:hint="eastAsia"/>
                <w:spacing w:val="-10"/>
                <w:sz w:val="24"/>
                <w:lang w:val="en-US" w:eastAsia="zh-CN"/>
              </w:rPr>
              <w:t>0.5</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常温</w:t>
            </w:r>
          </w:p>
        </w:tc>
        <w:tc>
          <w:tcPr>
            <w:tcW w:w="525" w:type="dxa"/>
            <w:textDirection w:val="lrTb"/>
            <w:vAlign w:val="center"/>
          </w:tcPr>
          <w:p>
            <w:pPr>
              <w:jc w:val="center"/>
              <w:rPr>
                <w:rFonts w:hint="eastAsia"/>
                <w:spacing w:val="-10"/>
                <w:sz w:val="24"/>
                <w:lang w:val="en-US" w:eastAsia="zh-CN"/>
              </w:rPr>
            </w:pPr>
            <w:r>
              <w:rPr>
                <w:rFonts w:hint="eastAsia"/>
                <w:spacing w:val="-10"/>
                <w:sz w:val="24"/>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27" w:hRule="atLeast"/>
        </w:trPr>
        <w:tc>
          <w:tcPr>
            <w:tcW w:w="940" w:type="dxa"/>
            <w:vAlign w:val="center"/>
          </w:tcPr>
          <w:p>
            <w:pPr>
              <w:jc w:val="center"/>
              <w:rPr>
                <w:rFonts w:hint="eastAsia"/>
                <w:spacing w:val="-10"/>
                <w:sz w:val="24"/>
                <w:lang w:val="en-US" w:eastAsia="zh-CN"/>
              </w:rPr>
            </w:pPr>
            <w:r>
              <w:rPr>
                <w:rFonts w:hint="eastAsia"/>
                <w:spacing w:val="-10"/>
                <w:sz w:val="24"/>
                <w:lang w:val="en-US" w:eastAsia="zh-CN"/>
              </w:rPr>
              <w:t>H6</w:t>
            </w:r>
          </w:p>
        </w:tc>
        <w:tc>
          <w:tcPr>
            <w:tcW w:w="1130" w:type="dxa"/>
            <w:textDirection w:val="lrTb"/>
            <w:vAlign w:val="center"/>
          </w:tcPr>
          <w:p>
            <w:pPr>
              <w:jc w:val="center"/>
              <w:rPr>
                <w:rFonts w:hint="eastAsia"/>
                <w:spacing w:val="-10"/>
                <w:sz w:val="24"/>
                <w:lang w:val="en-US" w:eastAsia="zh-CN"/>
              </w:rPr>
            </w:pPr>
            <w:r>
              <w:rPr>
                <w:rFonts w:hint="eastAsia"/>
                <w:spacing w:val="-10"/>
                <w:sz w:val="24"/>
                <w:lang w:val="en-US" w:eastAsia="zh-CN"/>
              </w:rPr>
              <w:t>导热油炉</w:t>
            </w:r>
          </w:p>
        </w:tc>
        <w:tc>
          <w:tcPr>
            <w:tcW w:w="887" w:type="dxa"/>
            <w:textDirection w:val="lrTb"/>
            <w:vAlign w:val="center"/>
          </w:tcPr>
          <w:p>
            <w:pPr>
              <w:jc w:val="center"/>
              <w:rPr>
                <w:rFonts w:hint="eastAsia"/>
                <w:spacing w:val="-10"/>
                <w:sz w:val="24"/>
                <w:lang w:val="en-US" w:eastAsia="zh-CN"/>
              </w:rPr>
            </w:pPr>
            <w:r>
              <w:rPr>
                <w:rFonts w:hint="eastAsia"/>
                <w:spacing w:val="-10"/>
                <w:sz w:val="24"/>
                <w:lang w:val="en-US" w:eastAsia="zh-CN"/>
              </w:rPr>
              <w:t>32000</w:t>
            </w:r>
          </w:p>
        </w:tc>
        <w:tc>
          <w:tcPr>
            <w:tcW w:w="834" w:type="dxa"/>
            <w:textDirection w:val="lrTb"/>
            <w:vAlign w:val="center"/>
          </w:tcPr>
          <w:p>
            <w:pPr>
              <w:jc w:val="center"/>
              <w:rPr>
                <w:rFonts w:hint="eastAsia"/>
                <w:spacing w:val="-10"/>
                <w:sz w:val="24"/>
                <w:lang w:val="en-US" w:eastAsia="zh-CN"/>
              </w:rPr>
            </w:pPr>
            <w:r>
              <w:rPr>
                <w:rFonts w:hint="eastAsia"/>
                <w:spacing w:val="-10"/>
                <w:sz w:val="24"/>
                <w:lang w:val="en-US" w:eastAsia="zh-CN"/>
              </w:rPr>
              <w:t>烟尘</w:t>
            </w:r>
          </w:p>
          <w:p>
            <w:pPr>
              <w:jc w:val="center"/>
              <w:rPr>
                <w:rFonts w:hint="eastAsia"/>
                <w:spacing w:val="-10"/>
                <w:sz w:val="24"/>
                <w:vertAlign w:val="subscript"/>
                <w:lang w:val="en-US" w:eastAsia="zh-CN"/>
              </w:rPr>
            </w:pPr>
            <w:r>
              <w:rPr>
                <w:rFonts w:hint="eastAsia"/>
                <w:spacing w:val="-10"/>
                <w:sz w:val="24"/>
                <w:lang w:val="en-US" w:eastAsia="zh-CN"/>
              </w:rPr>
              <w:t>SO</w:t>
            </w:r>
            <w:r>
              <w:rPr>
                <w:rFonts w:hint="eastAsia"/>
                <w:spacing w:val="-10"/>
                <w:sz w:val="24"/>
                <w:vertAlign w:val="subscript"/>
                <w:lang w:val="en-US" w:eastAsia="zh-CN"/>
              </w:rPr>
              <w:t>2</w:t>
            </w:r>
          </w:p>
          <w:p>
            <w:pPr>
              <w:jc w:val="center"/>
              <w:rPr>
                <w:rFonts w:hint="eastAsia"/>
                <w:spacing w:val="-10"/>
                <w:sz w:val="24"/>
                <w:vertAlign w:val="subscript"/>
                <w:lang w:val="en-US" w:eastAsia="zh-CN"/>
              </w:rPr>
            </w:pPr>
            <w:r>
              <w:rPr>
                <w:rFonts w:hint="eastAsia"/>
                <w:spacing w:val="-10"/>
                <w:sz w:val="24"/>
                <w:vertAlign w:val="baseline"/>
                <w:lang w:val="en-US" w:eastAsia="zh-CN"/>
              </w:rPr>
              <w:t>NO</w:t>
            </w:r>
            <w:r>
              <w:rPr>
                <w:rFonts w:hint="eastAsia"/>
                <w:spacing w:val="-10"/>
                <w:sz w:val="24"/>
                <w:vertAlign w:val="subscript"/>
                <w:lang w:val="en-US" w:eastAsia="zh-CN"/>
              </w:rPr>
              <w:t>X</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915.9 4</w:t>
            </w:r>
          </w:p>
          <w:p>
            <w:pPr>
              <w:jc w:val="center"/>
              <w:rPr>
                <w:rFonts w:hint="eastAsia"/>
                <w:spacing w:val="-10"/>
                <w:sz w:val="24"/>
                <w:lang w:val="en-US" w:eastAsia="zh-CN"/>
              </w:rPr>
            </w:pPr>
            <w:r>
              <w:rPr>
                <w:rFonts w:hint="eastAsia"/>
                <w:spacing w:val="-10"/>
                <w:sz w:val="24"/>
                <w:lang w:val="en-US" w:eastAsia="zh-CN"/>
              </w:rPr>
              <w:t>40.6</w:t>
            </w:r>
          </w:p>
          <w:p>
            <w:pPr>
              <w:jc w:val="center"/>
              <w:rPr>
                <w:rFonts w:hint="eastAsia"/>
                <w:spacing w:val="-10"/>
                <w:sz w:val="24"/>
                <w:lang w:val="en-US" w:eastAsia="zh-CN"/>
              </w:rPr>
            </w:pPr>
            <w:r>
              <w:rPr>
                <w:rFonts w:hint="eastAsia"/>
                <w:spacing w:val="-10"/>
                <w:sz w:val="24"/>
                <w:lang w:val="en-US" w:eastAsia="zh-CN"/>
              </w:rPr>
              <w:t>24.7</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29.31</w:t>
            </w:r>
          </w:p>
          <w:p>
            <w:pPr>
              <w:jc w:val="center"/>
              <w:rPr>
                <w:rFonts w:hint="eastAsia"/>
                <w:spacing w:val="-10"/>
                <w:sz w:val="24"/>
                <w:lang w:val="en-US" w:eastAsia="zh-CN"/>
              </w:rPr>
            </w:pPr>
            <w:r>
              <w:rPr>
                <w:rFonts w:hint="eastAsia"/>
                <w:spacing w:val="-10"/>
                <w:sz w:val="24"/>
                <w:lang w:val="en-US" w:eastAsia="zh-CN"/>
              </w:rPr>
              <w:t>1.3</w:t>
            </w:r>
          </w:p>
          <w:p>
            <w:pPr>
              <w:jc w:val="center"/>
              <w:rPr>
                <w:rFonts w:hint="eastAsia"/>
                <w:spacing w:val="-10"/>
                <w:sz w:val="24"/>
                <w:lang w:val="en-US" w:eastAsia="zh-CN"/>
              </w:rPr>
            </w:pPr>
            <w:r>
              <w:rPr>
                <w:rFonts w:hint="eastAsia"/>
                <w:spacing w:val="-10"/>
                <w:sz w:val="24"/>
                <w:lang w:val="en-US" w:eastAsia="zh-CN"/>
              </w:rPr>
              <w:t>0.79</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211</w:t>
            </w:r>
          </w:p>
          <w:p>
            <w:pPr>
              <w:jc w:val="center"/>
              <w:rPr>
                <w:rFonts w:hint="eastAsia"/>
                <w:spacing w:val="-10"/>
                <w:sz w:val="24"/>
                <w:lang w:val="en-US" w:eastAsia="zh-CN"/>
              </w:rPr>
            </w:pPr>
            <w:r>
              <w:rPr>
                <w:rFonts w:hint="eastAsia"/>
                <w:spacing w:val="-10"/>
                <w:sz w:val="24"/>
                <w:lang w:val="en-US" w:eastAsia="zh-CN"/>
              </w:rPr>
              <w:t>9.5</w:t>
            </w:r>
          </w:p>
          <w:p>
            <w:pPr>
              <w:jc w:val="center"/>
              <w:rPr>
                <w:rFonts w:hint="eastAsia"/>
                <w:spacing w:val="-10"/>
                <w:sz w:val="24"/>
                <w:lang w:val="en-US" w:eastAsia="zh-CN"/>
              </w:rPr>
            </w:pPr>
            <w:r>
              <w:rPr>
                <w:rFonts w:hint="eastAsia"/>
                <w:spacing w:val="-10"/>
                <w:sz w:val="24"/>
                <w:lang w:val="en-US" w:eastAsia="zh-CN"/>
              </w:rPr>
              <w:t>5.7</w:t>
            </w:r>
          </w:p>
        </w:tc>
        <w:tc>
          <w:tcPr>
            <w:tcW w:w="1470" w:type="dxa"/>
            <w:vAlign w:val="center"/>
          </w:tcPr>
          <w:p>
            <w:pPr>
              <w:jc w:val="center"/>
              <w:rPr>
                <w:rFonts w:hint="eastAsia"/>
                <w:spacing w:val="-10"/>
                <w:sz w:val="24"/>
                <w:lang w:val="en-US" w:eastAsia="zh-CN"/>
              </w:rPr>
            </w:pPr>
            <w:r>
              <w:rPr>
                <w:rFonts w:hint="eastAsia"/>
                <w:spacing w:val="-10"/>
                <w:sz w:val="24"/>
                <w:lang w:val="en-US" w:eastAsia="zh-CN"/>
              </w:rPr>
              <w:t>经配套的旋风多管除尘器处理后通过1根20m高的排气筒高空排放</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90</w:t>
            </w:r>
          </w:p>
          <w:p>
            <w:pPr>
              <w:jc w:val="center"/>
              <w:rPr>
                <w:rFonts w:hint="eastAsia"/>
                <w:spacing w:val="-10"/>
                <w:sz w:val="24"/>
                <w:lang w:val="en-US" w:eastAsia="zh-CN"/>
              </w:rPr>
            </w:pPr>
            <w:r>
              <w:rPr>
                <w:rFonts w:hint="eastAsia"/>
                <w:spacing w:val="-10"/>
                <w:sz w:val="24"/>
                <w:lang w:val="en-US" w:eastAsia="zh-CN"/>
              </w:rPr>
              <w:t>0</w:t>
            </w:r>
          </w:p>
          <w:p>
            <w:pPr>
              <w:jc w:val="center"/>
              <w:rPr>
                <w:rFonts w:hint="eastAsia"/>
                <w:spacing w:val="-10"/>
                <w:sz w:val="24"/>
                <w:lang w:val="en-US" w:eastAsia="zh-CN"/>
              </w:rPr>
            </w:pPr>
            <w:r>
              <w:rPr>
                <w:rFonts w:hint="eastAsia"/>
                <w:spacing w:val="-10"/>
                <w:sz w:val="24"/>
                <w:lang w:val="en-US" w:eastAsia="zh-CN"/>
              </w:rPr>
              <w:t>0</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90.6</w:t>
            </w:r>
          </w:p>
          <w:p>
            <w:pPr>
              <w:jc w:val="center"/>
              <w:rPr>
                <w:rFonts w:hint="eastAsia"/>
                <w:spacing w:val="-10"/>
                <w:sz w:val="24"/>
                <w:lang w:val="en-US" w:eastAsia="zh-CN"/>
              </w:rPr>
            </w:pPr>
            <w:r>
              <w:rPr>
                <w:rFonts w:hint="eastAsia"/>
                <w:spacing w:val="-10"/>
                <w:sz w:val="24"/>
                <w:lang w:val="en-US" w:eastAsia="zh-CN"/>
              </w:rPr>
              <w:t>40.6</w:t>
            </w:r>
          </w:p>
          <w:p>
            <w:pPr>
              <w:jc w:val="center"/>
              <w:rPr>
                <w:rFonts w:hint="eastAsia"/>
                <w:spacing w:val="-10"/>
                <w:sz w:val="24"/>
                <w:lang w:val="en-US" w:eastAsia="zh-CN"/>
              </w:rPr>
            </w:pPr>
            <w:r>
              <w:rPr>
                <w:rFonts w:hint="eastAsia"/>
                <w:spacing w:val="-10"/>
                <w:sz w:val="24"/>
                <w:lang w:val="en-US" w:eastAsia="zh-CN"/>
              </w:rPr>
              <w:t>24.7</w:t>
            </w:r>
          </w:p>
        </w:tc>
        <w:tc>
          <w:tcPr>
            <w:tcW w:w="945" w:type="dxa"/>
            <w:textDirection w:val="lrTb"/>
            <w:vAlign w:val="center"/>
          </w:tcPr>
          <w:p>
            <w:pPr>
              <w:jc w:val="center"/>
              <w:rPr>
                <w:rFonts w:hint="eastAsia"/>
                <w:spacing w:val="-10"/>
                <w:sz w:val="24"/>
                <w:lang w:val="en-US" w:eastAsia="zh-CN"/>
              </w:rPr>
            </w:pPr>
            <w:r>
              <w:rPr>
                <w:rFonts w:hint="eastAsia"/>
                <w:spacing w:val="-10"/>
                <w:sz w:val="24"/>
                <w:lang w:val="en-US" w:eastAsia="zh-CN"/>
              </w:rPr>
              <w:t>2.9</w:t>
            </w:r>
          </w:p>
          <w:p>
            <w:pPr>
              <w:jc w:val="center"/>
              <w:rPr>
                <w:rFonts w:hint="eastAsia"/>
                <w:spacing w:val="-10"/>
                <w:sz w:val="24"/>
                <w:lang w:val="en-US" w:eastAsia="zh-CN"/>
              </w:rPr>
            </w:pPr>
            <w:r>
              <w:rPr>
                <w:rFonts w:hint="eastAsia"/>
                <w:spacing w:val="-10"/>
                <w:sz w:val="24"/>
                <w:lang w:val="en-US" w:eastAsia="zh-CN"/>
              </w:rPr>
              <w:t>1.3</w:t>
            </w:r>
          </w:p>
          <w:p>
            <w:pPr>
              <w:jc w:val="center"/>
              <w:rPr>
                <w:rFonts w:hint="eastAsia"/>
                <w:spacing w:val="-10"/>
                <w:sz w:val="24"/>
                <w:lang w:val="en-US" w:eastAsia="zh-CN"/>
              </w:rPr>
            </w:pPr>
            <w:r>
              <w:rPr>
                <w:rFonts w:hint="eastAsia"/>
                <w:spacing w:val="-10"/>
                <w:sz w:val="24"/>
                <w:lang w:val="en-US" w:eastAsia="zh-CN"/>
              </w:rPr>
              <w:t>0.79</w:t>
            </w:r>
          </w:p>
        </w:tc>
        <w:tc>
          <w:tcPr>
            <w:tcW w:w="1050" w:type="dxa"/>
            <w:textDirection w:val="lrTb"/>
            <w:vAlign w:val="center"/>
          </w:tcPr>
          <w:p>
            <w:pPr>
              <w:jc w:val="center"/>
              <w:rPr>
                <w:rFonts w:hint="eastAsia"/>
                <w:spacing w:val="-10"/>
                <w:sz w:val="24"/>
                <w:lang w:val="en-US" w:eastAsia="zh-CN"/>
              </w:rPr>
            </w:pPr>
            <w:r>
              <w:rPr>
                <w:rFonts w:hint="eastAsia"/>
                <w:spacing w:val="-10"/>
                <w:sz w:val="24"/>
                <w:lang w:val="en-US" w:eastAsia="zh-CN"/>
              </w:rPr>
              <w:t>21.1</w:t>
            </w:r>
          </w:p>
          <w:p>
            <w:pPr>
              <w:jc w:val="center"/>
              <w:rPr>
                <w:rFonts w:hint="eastAsia"/>
                <w:spacing w:val="-10"/>
                <w:sz w:val="24"/>
                <w:lang w:val="en-US" w:eastAsia="zh-CN"/>
              </w:rPr>
            </w:pPr>
            <w:r>
              <w:rPr>
                <w:rFonts w:hint="eastAsia"/>
                <w:spacing w:val="-10"/>
                <w:sz w:val="24"/>
                <w:lang w:val="en-US" w:eastAsia="zh-CN"/>
              </w:rPr>
              <w:t>9.5</w:t>
            </w:r>
          </w:p>
          <w:p>
            <w:pPr>
              <w:jc w:val="center"/>
              <w:rPr>
                <w:rFonts w:hint="eastAsia"/>
                <w:spacing w:val="-10"/>
                <w:sz w:val="24"/>
                <w:lang w:val="en-US" w:eastAsia="zh-CN"/>
              </w:rPr>
            </w:pPr>
            <w:r>
              <w:rPr>
                <w:rFonts w:hint="eastAsia"/>
                <w:spacing w:val="-10"/>
                <w:sz w:val="24"/>
                <w:lang w:val="en-US" w:eastAsia="zh-CN"/>
              </w:rPr>
              <w:t>5.7</w:t>
            </w:r>
          </w:p>
        </w:tc>
        <w:tc>
          <w:tcPr>
            <w:tcW w:w="735" w:type="dxa"/>
            <w:textDirection w:val="lrTb"/>
            <w:vAlign w:val="center"/>
          </w:tcPr>
          <w:p>
            <w:pPr>
              <w:jc w:val="center"/>
              <w:rPr>
                <w:rFonts w:hint="eastAsia"/>
                <w:spacing w:val="-10"/>
                <w:sz w:val="24"/>
                <w:lang w:val="en-US" w:eastAsia="zh-CN"/>
              </w:rPr>
            </w:pPr>
            <w:r>
              <w:rPr>
                <w:rFonts w:hint="eastAsia"/>
                <w:spacing w:val="-10"/>
                <w:sz w:val="24"/>
                <w:lang w:val="en-US" w:eastAsia="zh-CN"/>
              </w:rPr>
              <w:t>200</w:t>
            </w:r>
          </w:p>
          <w:p>
            <w:pPr>
              <w:jc w:val="center"/>
              <w:rPr>
                <w:rFonts w:hint="eastAsia"/>
                <w:spacing w:val="-10"/>
                <w:sz w:val="24"/>
                <w:lang w:val="en-US" w:eastAsia="zh-CN"/>
              </w:rPr>
            </w:pPr>
            <w:r>
              <w:rPr>
                <w:rFonts w:hint="eastAsia"/>
                <w:spacing w:val="-10"/>
                <w:sz w:val="24"/>
                <w:lang w:val="en-US" w:eastAsia="zh-CN"/>
              </w:rPr>
              <w:t>200</w:t>
            </w:r>
          </w:p>
          <w:p>
            <w:pPr>
              <w:jc w:val="center"/>
              <w:rPr>
                <w:rFonts w:hint="eastAsia"/>
                <w:spacing w:val="-10"/>
                <w:sz w:val="24"/>
                <w:lang w:val="en-US" w:eastAsia="zh-CN"/>
              </w:rPr>
            </w:pPr>
            <w:r>
              <w:rPr>
                <w:rFonts w:hint="eastAsia"/>
                <w:spacing w:val="-10"/>
                <w:sz w:val="24"/>
                <w:lang w:val="en-US" w:eastAsia="zh-CN"/>
              </w:rPr>
              <w:t>200</w:t>
            </w:r>
          </w:p>
        </w:tc>
        <w:tc>
          <w:tcPr>
            <w:tcW w:w="840" w:type="dxa"/>
            <w:textDirection w:val="lrTb"/>
            <w:vAlign w:val="center"/>
          </w:tcPr>
          <w:p>
            <w:pPr>
              <w:jc w:val="center"/>
              <w:rPr>
                <w:rFonts w:hint="eastAsia"/>
                <w:spacing w:val="-10"/>
                <w:sz w:val="24"/>
                <w:lang w:val="en-US" w:eastAsia="zh-CN"/>
              </w:rPr>
            </w:pPr>
            <w:r>
              <w:rPr>
                <w:rFonts w:hint="eastAsia"/>
                <w:spacing w:val="-10"/>
                <w:sz w:val="24"/>
                <w:lang w:val="en-US" w:eastAsia="zh-CN"/>
              </w:rPr>
              <w:t>——</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20</w:t>
            </w:r>
          </w:p>
        </w:tc>
        <w:tc>
          <w:tcPr>
            <w:tcW w:w="525" w:type="dxa"/>
            <w:textDirection w:val="lrTb"/>
            <w:vAlign w:val="center"/>
          </w:tcPr>
          <w:p>
            <w:pPr>
              <w:jc w:val="center"/>
              <w:rPr>
                <w:rFonts w:hint="eastAsia"/>
                <w:spacing w:val="-10"/>
                <w:sz w:val="24"/>
                <w:lang w:val="en-US" w:eastAsia="zh-CN"/>
              </w:rPr>
            </w:pPr>
            <w:r>
              <w:rPr>
                <w:rFonts w:hint="eastAsia"/>
                <w:spacing w:val="-10"/>
                <w:sz w:val="24"/>
                <w:lang w:val="en-US" w:eastAsia="zh-CN"/>
              </w:rPr>
              <w:t>0.5</w:t>
            </w:r>
          </w:p>
        </w:tc>
        <w:tc>
          <w:tcPr>
            <w:tcW w:w="630" w:type="dxa"/>
            <w:textDirection w:val="lrTb"/>
            <w:vAlign w:val="center"/>
          </w:tcPr>
          <w:p>
            <w:pPr>
              <w:jc w:val="center"/>
              <w:rPr>
                <w:rFonts w:hint="eastAsia"/>
                <w:spacing w:val="-10"/>
                <w:sz w:val="24"/>
                <w:lang w:val="en-US" w:eastAsia="zh-CN"/>
              </w:rPr>
            </w:pPr>
            <w:r>
              <w:rPr>
                <w:rFonts w:hint="eastAsia"/>
                <w:spacing w:val="-10"/>
                <w:sz w:val="24"/>
                <w:lang w:val="en-US" w:eastAsia="zh-CN"/>
              </w:rPr>
              <w:t>100</w:t>
            </w:r>
          </w:p>
        </w:tc>
        <w:tc>
          <w:tcPr>
            <w:tcW w:w="525" w:type="dxa"/>
            <w:textDirection w:val="lrTb"/>
            <w:vAlign w:val="center"/>
          </w:tcPr>
          <w:p>
            <w:pPr>
              <w:jc w:val="center"/>
              <w:rPr>
                <w:rFonts w:hint="eastAsia"/>
                <w:spacing w:val="-10"/>
                <w:sz w:val="24"/>
                <w:lang w:val="en-US" w:eastAsia="zh-CN"/>
              </w:rPr>
            </w:pPr>
            <w:r>
              <w:rPr>
                <w:rFonts w:hint="eastAsia"/>
                <w:spacing w:val="-10"/>
                <w:sz w:val="24"/>
                <w:lang w:val="en-US" w:eastAsia="zh-CN"/>
              </w:rPr>
              <w:t>连续</w:t>
            </w:r>
          </w:p>
        </w:tc>
      </w:tr>
    </w:tbl>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表2.2-</w:t>
      </w:r>
      <w:r>
        <w:rPr>
          <w:rFonts w:hint="eastAsia" w:asciiTheme="minorEastAsia" w:hAnsiTheme="minorEastAsia" w:eastAsiaTheme="minorEastAsia" w:cstheme="minorEastAsia"/>
          <w:b/>
          <w:sz w:val="28"/>
          <w:szCs w:val="28"/>
          <w:lang w:val="en-US" w:eastAsia="zh-CN"/>
        </w:rPr>
        <w:t>2</w:t>
      </w:r>
      <w:r>
        <w:rPr>
          <w:rFonts w:hint="eastAsia" w:asciiTheme="minorEastAsia" w:hAnsiTheme="minorEastAsia" w:eastAsiaTheme="minorEastAsia" w:cstheme="minorEastAsia"/>
          <w:b/>
          <w:sz w:val="28"/>
          <w:szCs w:val="28"/>
        </w:rPr>
        <w:t xml:space="preserve">  本项目</w:t>
      </w:r>
      <w:r>
        <w:rPr>
          <w:rFonts w:hint="eastAsia" w:asciiTheme="minorEastAsia" w:hAnsiTheme="minorEastAsia" w:eastAsiaTheme="minorEastAsia" w:cstheme="minorEastAsia"/>
          <w:b/>
          <w:sz w:val="28"/>
          <w:szCs w:val="28"/>
          <w:lang w:val="en-US" w:eastAsia="zh-CN"/>
        </w:rPr>
        <w:t>有组织</w:t>
      </w:r>
      <w:r>
        <w:rPr>
          <w:rFonts w:hint="eastAsia" w:asciiTheme="minorEastAsia" w:hAnsiTheme="minorEastAsia" w:eastAsiaTheme="minorEastAsia" w:cstheme="minorEastAsia"/>
          <w:b/>
          <w:sz w:val="28"/>
          <w:szCs w:val="28"/>
        </w:rPr>
        <w:t>大气污染物排放情况（t/a）</w:t>
      </w:r>
    </w:p>
    <w:p>
      <w:pPr>
        <w:pStyle w:val="32"/>
        <w:spacing w:before="156" w:after="156"/>
        <w:outlineLvl w:val="3"/>
        <w:rPr>
          <w:rFonts w:hint="eastAsia" w:asciiTheme="minorEastAsia" w:hAnsiTheme="minorEastAsia" w:eastAsiaTheme="minorEastAsia" w:cstheme="minorEastAsi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32"/>
        <w:spacing w:before="156" w:after="156"/>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2.2.2.2废水</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①用水：本项目新鲜水总用量</w:t>
      </w:r>
      <w:r>
        <w:rPr>
          <w:rFonts w:hint="eastAsia" w:hAnsi="宋体"/>
          <w:sz w:val="28"/>
          <w:lang w:val="en-US" w:eastAsia="zh-CN"/>
        </w:rPr>
        <w:t>8523t/a</w:t>
      </w:r>
      <w:r>
        <w:rPr>
          <w:rFonts w:hint="eastAsia" w:asciiTheme="minorEastAsia" w:hAnsiTheme="minorEastAsia" w:eastAsiaTheme="minorEastAsia" w:cstheme="minorEastAsia"/>
          <w:sz w:val="28"/>
          <w:szCs w:val="28"/>
        </w:rPr>
        <w:t>，主要为生活用水、循环冷却系统补充水、地面及设备清洗用水等。</w:t>
      </w:r>
    </w:p>
    <w:p>
      <w:pPr>
        <w:spacing w:line="360" w:lineRule="auto"/>
        <w:ind w:firstLine="560" w:firstLineChars="200"/>
        <w:rPr>
          <w:rFonts w:hint="eastAsia" w:hAnsi="宋体"/>
          <w:sz w:val="28"/>
          <w:lang w:eastAsia="zh-CN"/>
        </w:rPr>
      </w:pPr>
      <w:r>
        <w:rPr>
          <w:rFonts w:hint="eastAsia" w:asciiTheme="minorEastAsia" w:hAnsiTheme="minorEastAsia" w:eastAsiaTheme="minorEastAsia" w:cstheme="minorEastAsia"/>
          <w:sz w:val="28"/>
          <w:szCs w:val="28"/>
        </w:rPr>
        <w:t>生活用水：</w:t>
      </w:r>
      <w:r>
        <w:rPr>
          <w:rFonts w:hAnsi="宋体"/>
          <w:sz w:val="28"/>
        </w:rPr>
        <w:t>根据国家相关定额、项目职工人数及全年工作天数测算，全厂职工生活污水产生量为</w:t>
      </w:r>
      <w:r>
        <w:rPr>
          <w:rFonts w:hint="eastAsia" w:hAnsi="宋体"/>
          <w:sz w:val="28"/>
          <w:lang w:val="en-US" w:eastAsia="zh-CN"/>
        </w:rPr>
        <w:t>2592</w:t>
      </w:r>
      <w:r>
        <w:rPr>
          <w:sz w:val="28"/>
        </w:rPr>
        <w:t>m</w:t>
      </w:r>
      <w:r>
        <w:rPr>
          <w:sz w:val="28"/>
          <w:vertAlign w:val="superscript"/>
        </w:rPr>
        <w:t>3</w:t>
      </w:r>
      <w:r>
        <w:rPr>
          <w:sz w:val="28"/>
        </w:rPr>
        <w:t>/a</w:t>
      </w:r>
      <w:r>
        <w:rPr>
          <w:rFonts w:hAnsi="宋体"/>
          <w:sz w:val="28"/>
        </w:rPr>
        <w:t>，污水中主要污染因子为</w:t>
      </w:r>
      <w:r>
        <w:rPr>
          <w:sz w:val="28"/>
        </w:rPr>
        <w:t>COD</w:t>
      </w:r>
      <w:r>
        <w:rPr>
          <w:rFonts w:hAnsi="宋体"/>
          <w:sz w:val="28"/>
        </w:rPr>
        <w:t>、</w:t>
      </w:r>
      <w:r>
        <w:rPr>
          <w:sz w:val="28"/>
        </w:rPr>
        <w:t>SS</w:t>
      </w:r>
      <w:r>
        <w:rPr>
          <w:rFonts w:hAnsi="宋体"/>
          <w:sz w:val="28"/>
        </w:rPr>
        <w:t>、氨氮和总磷</w:t>
      </w:r>
      <w:r>
        <w:rPr>
          <w:rFonts w:hint="eastAsia" w:hAnsi="宋体"/>
          <w:sz w:val="28"/>
          <w:lang w:eastAsia="zh-CN"/>
        </w:rPr>
        <w:t>。</w:t>
      </w:r>
    </w:p>
    <w:p>
      <w:pPr>
        <w:spacing w:line="360" w:lineRule="auto"/>
        <w:ind w:firstLine="560" w:firstLineChars="200"/>
        <w:rPr>
          <w:rFonts w:hint="eastAsia" w:hAnsi="宋体"/>
          <w:sz w:val="28"/>
          <w:lang w:val="en-US" w:eastAsia="zh-CN"/>
        </w:rPr>
      </w:pPr>
      <w:r>
        <w:rPr>
          <w:rFonts w:hint="eastAsia" w:asciiTheme="minorEastAsia" w:hAnsiTheme="minorEastAsia" w:eastAsiaTheme="minorEastAsia" w:cstheme="minorEastAsia"/>
          <w:sz w:val="28"/>
          <w:szCs w:val="28"/>
        </w:rPr>
        <w:t>循环冷却系统补充水：循环水量30</w:t>
      </w:r>
      <w:r>
        <w:rPr>
          <w:rFonts w:hint="eastAsia" w:hAnsi="宋体"/>
          <w:sz w:val="28"/>
          <w:lang w:val="en-US" w:eastAsia="zh-CN"/>
        </w:rPr>
        <w:t>t/h</w:t>
      </w:r>
      <w:r>
        <w:rPr>
          <w:rFonts w:hint="eastAsia" w:asciiTheme="minorEastAsia" w:hAnsiTheme="minorEastAsia" w:eastAsiaTheme="minorEastAsia" w:cstheme="minorEastAsia"/>
          <w:sz w:val="28"/>
          <w:szCs w:val="28"/>
        </w:rPr>
        <w:t>，冷却循环需补充水量</w:t>
      </w:r>
      <w:r>
        <w:rPr>
          <w:rFonts w:hint="eastAsia" w:asciiTheme="minorEastAsia" w:hAnsiTheme="minorEastAsia" w:eastAsiaTheme="minorEastAsia" w:cstheme="minorEastAsia"/>
          <w:sz w:val="28"/>
          <w:szCs w:val="28"/>
          <w:lang w:val="en-US" w:eastAsia="zh-CN"/>
        </w:rPr>
        <w:t>4000</w:t>
      </w:r>
      <w:r>
        <w:rPr>
          <w:rFonts w:hint="eastAsia" w:hAnsi="宋体"/>
          <w:sz w:val="28"/>
          <w:lang w:val="en-US" w:eastAsia="zh-CN"/>
        </w:rPr>
        <w:t>t/a。</w:t>
      </w:r>
    </w:p>
    <w:p>
      <w:pPr>
        <w:spacing w:line="360" w:lineRule="auto"/>
        <w:ind w:firstLine="560" w:firstLineChars="200"/>
        <w:rPr>
          <w:rFonts w:hint="eastAsia" w:hAnsi="宋体"/>
          <w:sz w:val="28"/>
          <w:lang w:val="en-US" w:eastAsia="zh-CN"/>
        </w:rPr>
      </w:pPr>
      <w:r>
        <w:rPr>
          <w:rFonts w:hint="eastAsia" w:asciiTheme="minorEastAsia" w:hAnsiTheme="minorEastAsia" w:eastAsiaTheme="minorEastAsia" w:cstheme="minorEastAsia"/>
          <w:sz w:val="28"/>
          <w:szCs w:val="28"/>
        </w:rPr>
        <w:t>地面冲洗、设备清洗等其他用水：本项目用水量约</w:t>
      </w:r>
      <w:r>
        <w:rPr>
          <w:rFonts w:hint="eastAsia" w:hAnsi="宋体"/>
          <w:sz w:val="28"/>
          <w:lang w:val="en-US" w:eastAsia="zh-CN"/>
        </w:rPr>
        <w:t>1283t/a。</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②排水：项目实施雨污分流体制，雨水经雨水管网就近排放；生</w:t>
      </w:r>
      <w:r>
        <w:rPr>
          <w:rFonts w:hint="eastAsia" w:hAnsi="宋体"/>
          <w:sz w:val="28"/>
          <w:lang w:val="en-US" w:eastAsia="zh-CN"/>
        </w:rPr>
        <w:t>活污水总排放量2592t/a，工业废水总排放量1283t/a，包含设备清洗废水和地面冲洗废水等。经过厂区污水处理站预处</w:t>
      </w:r>
      <w:r>
        <w:rPr>
          <w:rFonts w:hint="eastAsia" w:asciiTheme="minorEastAsia" w:hAnsiTheme="minorEastAsia" w:eastAsiaTheme="minorEastAsia" w:cstheme="minorEastAsia"/>
          <w:sz w:val="28"/>
          <w:szCs w:val="28"/>
        </w:rPr>
        <w:t>理后纳入丹阳市沃特污水处理厂集中处理。本项目用水排水平衡见图2.2-4。本项目各类废水源强见表2.2-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w:t>
      </w:r>
    </w:p>
    <w:p>
      <w:pPr>
        <w:spacing w:line="360" w:lineRule="auto"/>
        <w:rPr>
          <w:rFonts w:hint="eastAsia" w:asciiTheme="minorEastAsia" w:hAnsiTheme="minorEastAsia" w:eastAsiaTheme="minorEastAsia" w:cstheme="minorEastAsia"/>
          <w:sz w:val="28"/>
          <w:szCs w:val="28"/>
        </w:rPr>
      </w:pPr>
      <w:r>
        <w:pict>
          <v:group id="组合 3" o:spid="_x0000_s2556" o:spt="203" style="height:378.15pt;width:454pt;" coordorigin="2907,1575" coordsize="9080,8305" o:gfxdata="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C1ea1q1wAA&#10;AAUBAAAPAAAAAAAAAAEAIAAAACIAAABkcnMvZG93bnJldi54bWxQSwECFAAUAAAACACHTuJALwxi&#10;ZQYJAADXPwAADgAAAAAAAAABACAAAAAmAQAAZHJzL2Uyb0RvYy54bWxQSwUGAAAAAAYABgBZAQAA&#10;ngwAAAAA&#10;">
            <o:lock v:ext="edit" aspectratio="f"/>
            <v:shape id="直接箭头连接符 6" o:spid="_x0000_s2523" o:spt="32" type="#_x0000_t32" style="position:absolute;left:3066;top:4780;height:0;width:733;"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shape>
            <v:shape id="文本框 7" o:spid="_x0000_s2524" o:spt="202" type="#_x0000_t202" style="position:absolute;left:2907;top:3712;height:1494;width:1090;" filled="f" stroked="f" coordsize="21600,21600" o:gfxdata="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bU5CtwAAANoAAAAP&#10;AAAAAAAAAAEAIAAAACIAAABkcnMvZG93bnJldi54bWxQSwECFAAUAAAACACHTuJAMy8FnjsAAAA5&#10;AAAAEAAAAAAAAAABACAAAAAGAQAAZHJzL3NoYXBleG1sLnhtbFBLBQYAAAAABgAGAFsBAACwAwAA&#10;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 xml:space="preserve">新鲜用水量    </w:t>
                    </w:r>
                    <w:r>
                      <w:rPr>
                        <w:rFonts w:ascii="仿宋" w:hAnsi="Times New Roman" w:eastAsia="仿宋"/>
                        <w:color w:val="000000" w:themeColor="text1"/>
                        <w:kern w:val="2"/>
                        <w:sz w:val="24"/>
                        <w:szCs w:val="24"/>
                      </w:rPr>
                      <w:t>8170</w:t>
                    </w:r>
                  </w:p>
                </w:txbxContent>
              </v:textbox>
            </v:shape>
            <v:line id="直接连接符 10" o:spid="_x0000_s2525" o:spt="20" style="position:absolute;left:3801;top:2378;height:5091;width:0;" filled="f" stroked="t"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path arrowok="t"/>
              <v:fill on="f" focussize="0,0"/>
              <v:stroke color="#000000" joinstyle="round"/>
              <v:imagedata o:title=""/>
              <o:lock v:ext="edit" aspectratio="f"/>
            </v:line>
            <v:shape id="文本框 13" o:spid="_x0000_s2526" o:spt="202" type="#_x0000_t202" style="position:absolute;left:4045;top:1935;height:808;width:892;" filled="f" stroked="f" coordsize="21600,21600"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v:path/>
              <v:fill on="f" focussize="0,0"/>
              <v:stroke on="f"/>
              <v:imagedata o:title=""/>
              <o:lock v:ext="edit" aspectratio="f"/>
              <v:textbox style="mso-fit-shape-to-text:t;">
                <w:txbxContent>
                  <w:p>
                    <w:pPr>
                      <w:pStyle w:val="15"/>
                      <w:kinsoku/>
                      <w:ind w:left="0"/>
                      <w:jc w:val="left"/>
                      <w:rPr>
                        <w:rFonts w:hint="eastAsia" w:eastAsia="宋体"/>
                        <w:lang w:val="en-US" w:eastAsia="zh-CN"/>
                      </w:rPr>
                    </w:pPr>
                    <w:r>
                      <w:rPr>
                        <w:rFonts w:hint="eastAsia" w:ascii="仿宋" w:hAnsi="Times New Roman" w:eastAsia="仿宋"/>
                        <w:color w:val="000000" w:themeColor="text1"/>
                        <w:kern w:val="2"/>
                        <w:sz w:val="24"/>
                        <w:szCs w:val="24"/>
                        <w:lang w:val="en-US" w:eastAsia="zh-CN"/>
                      </w:rPr>
                      <w:t>3240</w:t>
                    </w:r>
                  </w:p>
                </w:txbxContent>
              </v:textbox>
            </v:shape>
            <v:shape id="文本框 19" o:spid="_x0000_s2527" o:spt="202" type="#_x0000_t202" style="position:absolute;left:3914;top:4081;height:808;width:1315;" filled="f" stroked="f" coordsize="21600,21600" o:gfxdata="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z+irgAAADbAAAA&#10;DwAAAAAAAAABACAAAAAiAAAAZHJzL2Rvd25yZXYueG1sUEsBAhQAFAAAAAgAh07iQDMvBZ47AAAA&#10;OQAAABAAAAAAAAAAAQAgAAAABwEAAGRycy9zaGFwZXhtbC54bWxQSwUGAAAAAAYABgBbAQAAsQMA&#10;AAAA&#10;">
              <v:path/>
              <v:fill on="f" focussize="0,0"/>
              <v:stroke on="f"/>
              <v:imagedata o:title=""/>
              <o:lock v:ext="edit" aspectratio="f"/>
              <v:textbox style="mso-fit-shape-to-text:t;">
                <w:txbxContent>
                  <w:p>
                    <w:pPr>
                      <w:pStyle w:val="15"/>
                      <w:kinsoku/>
                      <w:ind w:left="0"/>
                      <w:jc w:val="left"/>
                    </w:pPr>
                    <w:r>
                      <w:rPr>
                        <w:rFonts w:ascii="仿宋" w:hAnsi="Times New Roman" w:eastAsia="仿宋"/>
                        <w:color w:val="000000" w:themeColor="text1"/>
                        <w:kern w:val="2"/>
                        <w:sz w:val="24"/>
                        <w:szCs w:val="24"/>
                      </w:rPr>
                      <w:t>补充</w:t>
                    </w:r>
                    <w:r>
                      <w:rPr>
                        <w:rFonts w:hint="eastAsia" w:ascii="仿宋" w:hAnsi="Times New Roman" w:eastAsia="仿宋"/>
                        <w:color w:val="000000" w:themeColor="text1"/>
                        <w:kern w:val="2"/>
                        <w:sz w:val="24"/>
                        <w:szCs w:val="24"/>
                        <w:lang w:val="en-US" w:eastAsia="zh-CN"/>
                      </w:rPr>
                      <w:t>4</w:t>
                    </w:r>
                    <w:r>
                      <w:rPr>
                        <w:rFonts w:ascii="仿宋" w:hAnsi="Times New Roman" w:eastAsia="仿宋"/>
                        <w:color w:val="000000" w:themeColor="text1"/>
                        <w:kern w:val="2"/>
                        <w:sz w:val="24"/>
                        <w:szCs w:val="24"/>
                      </w:rPr>
                      <w:t>000</w:t>
                    </w:r>
                  </w:p>
                </w:txbxContent>
              </v:textbox>
            </v:shape>
            <v:group id="组合 2" o:spid="_x0000_s2534" o:spt="203" style="position:absolute;left:5222;top:3788;height:1152;width:2349;" coordorigin="5222,3788" coordsize="2349,1152"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文本框 18" o:spid="_x0000_s2528" o:spt="202" type="#_x0000_t202" style="position:absolute;left:5222;top:4484;height:456;width:2349;"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冷却循环用水</w:t>
                      </w:r>
                    </w:p>
                  </w:txbxContent>
                </v:textbox>
              </v:shape>
              <v:group id="组合 39" o:spid="_x0000_s2532" o:spt="203" style="position:absolute;left:5442;top:4297;height:186;width:1920;" coordorigin="2601532,2605723" coordsize="1219292,118262"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直接连接符 34" o:spid="_x0000_s2529" o:spt="20" style="position:absolute;left:3820824;top:2605723;height:118262;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line id="直接连接符 36" o:spid="_x0000_s2530" o:spt="20" style="position:absolute;left:2601532;top:2605723;flip:x;height:0;width:1219292;"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shape id="直接箭头连接符 38" o:spid="_x0000_s2531" o:spt="32" type="#_x0000_t32" style="position:absolute;left:2601532;top:2605723;height:118262;width:0;"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group>
              <v:shape id="文本框 40" o:spid="_x0000_s2533" o:spt="202" type="#_x0000_t202" style="position:absolute;left:5535;top:3788;height:1151;width:1733;" filled="f" stroked="f" coordsize="21600,21600" o:gfxdata="UEsDBAoAAAAAAIdO4kAAAAAAAAAAAAAAAAAEAAAAZHJzL1BLAwQUAAAACACHTuJAqU++sbsAAADb&#10;AAAADwAAAGRycy9kb3ducmV2LnhtbEWPwWrDMBBE74X8g9hAb43k0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sb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仿宋" w:hAnsi="Times New Roman" w:eastAsia="仿宋"/>
                          <w:color w:val="000000" w:themeColor="text1"/>
                          <w:kern w:val="2"/>
                          <w:sz w:val="24"/>
                          <w:szCs w:val="24"/>
                        </w:rPr>
                        <w:t>30m</w:t>
                      </w:r>
                      <w:r>
                        <w:rPr>
                          <w:rFonts w:ascii="仿宋" w:hAnsi="Times New Roman" w:eastAsia="仿宋"/>
                          <w:color w:val="000000" w:themeColor="text1"/>
                          <w:kern w:val="2"/>
                          <w:position w:val="1"/>
                          <w:sz w:val="24"/>
                          <w:szCs w:val="24"/>
                          <w:vertAlign w:val="superscript"/>
                        </w:rPr>
                        <w:t>3</w:t>
                      </w:r>
                      <w:r>
                        <w:rPr>
                          <w:rFonts w:ascii="仿宋" w:hAnsi="Times New Roman" w:eastAsia="仿宋"/>
                          <w:color w:val="000000" w:themeColor="text1"/>
                          <w:kern w:val="2"/>
                          <w:sz w:val="24"/>
                          <w:szCs w:val="24"/>
                        </w:rPr>
                        <w:t>/h*7200h</w:t>
                      </w:r>
                    </w:p>
                  </w:txbxContent>
                </v:textbox>
              </v:shape>
            </v:group>
            <v:group id="组合 52" o:spid="_x0000_s2539" o:spt="203" style="position:absolute;left:5167;top:1575;height:1119;width:3479;" coordorigin="2485623,1336331" coordsize="2209705,710696"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文本框 8" o:spid="_x0000_s2535" o:spt="202" type="#_x0000_t202" style="position:absolute;left:2485623;top:1737114;height:309913;width:1171977;"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path/>
                <v:fill on="t" color2="#FFFFFF" focussize="0,0"/>
                <v:stroke color="#000000" miterlimit="8" joinstyle="miter"/>
                <v:imagedata o:title=""/>
                <o:lock v:ext="edit" aspectratio="f"/>
                <v:textbox>
                  <w:txbxContent>
                    <w:p>
                      <w:pPr>
                        <w:pStyle w:val="15"/>
                        <w:kinsoku/>
                        <w:spacing w:after="0"/>
                        <w:ind w:left="0"/>
                        <w:jc w:val="center"/>
                      </w:pPr>
                      <w:r>
                        <w:rPr>
                          <w:rFonts w:ascii="Calibri" w:hAnsi="Times New Roman" w:eastAsia="仿宋"/>
                          <w:color w:val="000000" w:themeColor="text1"/>
                          <w:kern w:val="2"/>
                          <w:sz w:val="24"/>
                          <w:szCs w:val="24"/>
                        </w:rPr>
                        <w:t>生活用水</w:t>
                      </w:r>
                    </w:p>
                  </w:txbxContent>
                </v:textbox>
              </v:shape>
              <v:group id="组合 42" o:spid="_x0000_s2538" o:spt="203" style="position:absolute;left:3657600;top:1336331;height:513334;width:1037728;" coordorigin="3657600,1374717" coordsize="1037728,513334"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曲线连接符 43" o:spid="_x0000_s2536" o:spt="38" type="#_x0000_t38" style="position:absolute;left:3657600;top:1606288;flip:y;height:237331;width:283612;" filled="f" stroked="t" coordsize="21600,21600" o:gfxdata="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ZPaO8AAAA&#10;2wAAAA8AAAAAAAAAAQAgAAAAIgAAAGRycy9kb3ducmV2LnhtbFBLAQIUABQAAAAIAIdO4kAzLwWe&#10;OwAAADkAAAAQAAAAAAAAAAEAIAAAAAsBAABkcnMvc2hhcGV4bWwueG1sUEsFBgAAAAAGAAYAWwEA&#10;ALUDAAAAAA==&#10;" adj="10800">
                  <v:path arrowok="t"/>
                  <v:fill on="f" focussize="0,0"/>
                  <v:stroke color="#000000" joinstyle="round" endarrow="block"/>
                  <v:imagedata o:title=""/>
                  <o:lock v:ext="edit" aspectratio="f"/>
                </v:shape>
                <v:shape id="文本框 44" o:spid="_x0000_s2537" o:spt="202" type="#_x0000_t202" style="position:absolute;left:3819593;top:1374717;height:513334;width:875735;" filled="f" stroked="f" coordsize="21600,21600" o:gfxdata="UEsDBAoAAAAAAIdO4kAAAAAAAAAAAAAAAAAEAAAAZHJzL1BLAwQUAAAACACHTuJA1nS4srsAAADb&#10;AAAADwAAAGRycy9kb3ducmV2LnhtbEWPwWrDMBBE74X+g9hCb43k0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S4sr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损耗</w:t>
                        </w:r>
                        <w:r>
                          <w:rPr>
                            <w:rFonts w:hint="eastAsia" w:ascii="仿宋" w:hAnsi="Times New Roman" w:eastAsia="仿宋"/>
                            <w:color w:val="000000" w:themeColor="text1"/>
                            <w:kern w:val="2"/>
                            <w:sz w:val="24"/>
                            <w:szCs w:val="24"/>
                            <w:lang w:val="en-US" w:eastAsia="zh-CN"/>
                          </w:rPr>
                          <w:t>648</w:t>
                        </w:r>
                      </w:p>
                    </w:txbxContent>
                  </v:textbox>
                </v:shape>
              </v:group>
            </v:group>
            <v:group id="组合 48" o:spid="_x0000_s2542" o:spt="203" style="position:absolute;left:7571;top:3959;height:808;width:1698;" coordorigin="3657600,1415464" coordsize="1078255,513437"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曲线连接符 49" o:spid="_x0000_s2540" o:spt="38" type="#_x0000_t38" style="position:absolute;left:3657600;top:1606288;flip:y;height:237331;width:283612;" filled="f" stroked="t" coordsize="21600,21600" o:gfxdata="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e619ugAAANsA&#10;AAAPAAAAAAAAAAEAIAAAACIAAABkcnMvZG93bnJldi54bWxQSwECFAAUAAAACACHTuJAMy8FnjsA&#10;AAA5AAAAEAAAAAAAAAABACAAAAAJAQAAZHJzL3NoYXBleG1sLnhtbFBLBQYAAAAABgAGAFsBAACz&#10;AwAAAAA=&#10;" adj="10800">
                <v:path arrowok="t"/>
                <v:fill on="f" focussize="0,0"/>
                <v:stroke color="#000000" joinstyle="round" endarrow="block"/>
                <v:imagedata o:title=""/>
                <o:lock v:ext="edit" aspectratio="f"/>
              </v:shape>
              <v:shape id="文本框 50" o:spid="_x0000_s2541" o:spt="202" type="#_x0000_t202" style="position:absolute;left:3860081;top:1415464;height:513437;width:875774;" filled="f" stroked="f" coordsize="21600,21600"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v:path/>
                <v:fill on="f" focussize="0,0"/>
                <v:stroke on="f"/>
                <v:imagedata o:title=""/>
                <o:lock v:ext="edit" aspectratio="f"/>
                <v:textbox style="mso-fit-shape-to-text:t;">
                  <w:txbxContent>
                    <w:p>
                      <w:pPr>
                        <w:pStyle w:val="15"/>
                        <w:kinsoku/>
                        <w:ind w:left="0"/>
                        <w:jc w:val="left"/>
                      </w:pPr>
                      <w:r>
                        <w:rPr>
                          <w:rFonts w:ascii="Calibri" w:hAnsi="Times New Roman" w:eastAsia="仿宋"/>
                          <w:color w:val="000000" w:themeColor="text1"/>
                          <w:kern w:val="2"/>
                          <w:sz w:val="24"/>
                          <w:szCs w:val="24"/>
                        </w:rPr>
                        <w:t>损耗</w:t>
                      </w:r>
                      <w:r>
                        <w:rPr>
                          <w:rFonts w:hint="eastAsia" w:ascii="仿宋" w:hAnsi="Times New Roman" w:eastAsia="仿宋"/>
                          <w:color w:val="000000" w:themeColor="text1"/>
                          <w:kern w:val="2"/>
                          <w:sz w:val="24"/>
                          <w:szCs w:val="24"/>
                          <w:lang w:val="en-US" w:eastAsia="zh-CN"/>
                        </w:rPr>
                        <w:t>4</w:t>
                      </w:r>
                      <w:r>
                        <w:rPr>
                          <w:rFonts w:ascii="仿宋" w:hAnsi="Times New Roman" w:eastAsia="仿宋"/>
                          <w:color w:val="000000" w:themeColor="text1"/>
                          <w:kern w:val="2"/>
                          <w:sz w:val="24"/>
                          <w:szCs w:val="24"/>
                        </w:rPr>
                        <w:t>000</w:t>
                      </w:r>
                    </w:p>
                  </w:txbxContent>
                </v:textbox>
              </v:shape>
            </v:group>
            <v:shape id="直接箭头连接符 75" o:spid="_x0000_s2543" o:spt="32" type="#_x0000_t32" style="position:absolute;left:3851;top:4730;height:0;width:1378;" filled="f" stroked="t" coordsize="21600,2160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v:shape id="直接箭头连接符 76" o:spid="_x0000_s2544" o:spt="32" type="#_x0000_t32" style="position:absolute;left:3799;top:2371;height:0;width:1378;" filled="f" stroked="t" coordsize="21600,21600" o:gfxdata="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ULr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直接箭头连接符 94" o:spid="_x0000_s2545" o:spt="32" type="#_x0000_t32" style="position:absolute;left:3799;top:7468;height:0;width:1378;" filled="f" stroked="t" coordsize="21600,21600" o:gfxdata="UEsDBAoAAAAAAIdO4kAAAAAAAAAAAAAAAAAEAAAAZHJzL1BLAwQUAAAACACHTuJAYihJOL4AAADb&#10;AAAADwAAAGRycy9kb3ducmV2LnhtbEWPT2sCMRTE74V+h/CE3mpWo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JOL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shape>
            <v:shape id="文本框 95" o:spid="_x0000_s2546" o:spt="202" type="#_x0000_t202" style="position:absolute;left:5188;top:7042;height:822;width:2411;" fillcolor="#FFFFFF" filled="t" stroked="t" coordsize="21600,21600" o:gfxdata="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LhbL4A&#10;AADbAAAADwAAAAAAAAABACAAAAAiAAAAZHJzL2Rvd25yZXYueG1sUEsBAhQAFAAAAAgAh07iQDMv&#10;BZ47AAAAOQAAABAAAAAAAAAAAQAgAAAADQEAAGRycy9zaGFwZXhtbC54bWxQSwUGAAAAAAYABgBb&#10;AQAAtwMAAAAA&#10;">
              <v:path/>
              <v:fill on="t" color2="#FFFFFF" focussize="0,0"/>
              <v:stroke color="#000000" miterlimit="8" joinstyle="miter"/>
              <v:imagedata o:title=""/>
              <o:lock v:ext="edit" aspectratio="f"/>
              <v:textbox>
                <w:txbxContent>
                  <w:p>
                    <w:pPr>
                      <w:pStyle w:val="15"/>
                      <w:kinsoku/>
                      <w:spacing w:after="0"/>
                      <w:ind w:left="0"/>
                      <w:jc w:val="center"/>
                    </w:pPr>
                    <w:r>
                      <w:rPr>
                        <w:rFonts w:ascii="仿宋" w:hAnsi="Times New Roman" w:eastAsia="仿宋"/>
                        <w:color w:val="000000" w:themeColor="text1"/>
                        <w:kern w:val="2"/>
                        <w:sz w:val="24"/>
                        <w:szCs w:val="24"/>
                      </w:rPr>
                      <w:t>地面、设备清洗等其他用水</w:t>
                    </w:r>
                  </w:p>
                </w:txbxContent>
              </v:textbox>
            </v:shape>
            <v:shape id="文本框 96" o:spid="_x0000_s2547" o:spt="202" type="#_x0000_t202" style="position:absolute;left:4045;top:7032;height:808;width:892;" filled="f" stroked="f" coordsize="21600,21600" o:gfxdata="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Krxm8AAAA&#10;2wAAAA8AAAAAAAAAAQAgAAAAIgAAAGRycy9kb3ducmV2LnhtbFBLAQIUABQAAAAIAIdO4kAzLwWe&#10;OwAAADkAAAAQAAAAAAAAAAEAIAAAAAsBAABkcnMvc2hhcGV4bWwueG1sUEsFBgAAAAAGAAYAWwEA&#10;ALUDAAAAAA==&#10;">
              <v:path/>
              <v:fill on="f" focussize="0,0"/>
              <v:stroke on="f"/>
              <v:imagedata o:title=""/>
              <o:lock v:ext="edit" aspectratio="f"/>
              <v:textbox style="mso-fit-shape-to-text:t;">
                <w:txbxContent>
                  <w:p>
                    <w:pPr>
                      <w:pStyle w:val="15"/>
                      <w:kinsoku/>
                      <w:ind w:left="0"/>
                      <w:jc w:val="left"/>
                      <w:rPr>
                        <w:lang w:val="en-US"/>
                      </w:rPr>
                    </w:pPr>
                    <w:r>
                      <w:rPr>
                        <w:rFonts w:ascii="仿宋" w:hAnsi="Times New Roman" w:eastAsia="仿宋"/>
                        <w:color w:val="000000" w:themeColor="text1"/>
                        <w:kern w:val="2"/>
                        <w:sz w:val="24"/>
                        <w:szCs w:val="24"/>
                      </w:rPr>
                      <w:t>1</w:t>
                    </w:r>
                    <w:r>
                      <w:rPr>
                        <w:rFonts w:hint="eastAsia" w:ascii="仿宋" w:hAnsi="Times New Roman" w:eastAsia="仿宋"/>
                        <w:color w:val="000000" w:themeColor="text1"/>
                        <w:kern w:val="2"/>
                        <w:sz w:val="24"/>
                        <w:szCs w:val="24"/>
                        <w:lang w:val="en-US" w:eastAsia="zh-CN"/>
                      </w:rPr>
                      <w:t>283</w:t>
                    </w:r>
                  </w:p>
                </w:txbxContent>
              </v:textbox>
            </v:shape>
            <v:shape id="直接箭头连接符 97" o:spid="_x0000_s2548" o:spt="32" type="#_x0000_t32" style="position:absolute;left:7599;top:7453;height:15;width:2805;" filled="f" stroked="t" coordsize="21600,21600" o:gfxdata="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eamugAAANsA&#10;AAAPAAAAAAAAAAEAIAAAACIAAABkcnMvZG93bnJldi54bWxQSwECFAAUAAAACACHTuJAMy8FnjsA&#10;AAA5AAAAEAAAAAAAAAABACAAAAAJAQAAZHJzL3NoYXBleG1sLnhtbFBLBQYAAAAABgAGAFsBAACz&#10;AwAAAAA=&#10;">
              <v:path arrowok="t"/>
              <v:fill on="f" focussize="0,0"/>
              <v:stroke color="#000000" joinstyle="round" endarrow="block"/>
              <v:imagedata o:title=""/>
              <o:lock v:ext="edit" aspectratio="f"/>
            </v:shape>
            <v:shape id="直接箭头连接符 99" o:spid="_x0000_s2549" o:spt="32" type="#_x0000_t32" style="position:absolute;left:7023;top:2387;height:0;width:3381;" filled="f" stroked="t" coordsize="21600,21600" o:gfxdata="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8yQ+/&#10;AAAA3A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shape>
            <v:line id="直接连接符 102" o:spid="_x0000_s2550" o:spt="20" style="position:absolute;left:10378;top:2387;height:5062;width: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v:shape id="直接箭头连接符 104" o:spid="_x0000_s2551" o:spt="32" type="#_x0000_t32" style="position:absolute;left:10404;top:4782;height:0;width:1424;" filled="f" stroked="t" coordsize="21600,21600" o:gfxdata="UEsDBAoAAAAAAIdO4kAAAAAAAAAAAAAAAAAEAAAAZHJzL1BLAwQUAAAACACHTuJA2gtql7wAAADc&#10;AAAADwAAAGRycy9kb3ducmV2LnhtbEVPS2sCMRC+F/wPYQRvNbHg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Lape8AAAA&#10;3AAAAA8AAAAAAAAAAQAgAAAAIgAAAGRycy9kb3ducmV2LnhtbFBLAQIUABQAAAAIAIdO4kAzLwWe&#10;OwAAADkAAAAQAAAAAAAAAAEAIAAAAAsBAABkcnMvc2hhcGV4bWwueG1sUEsFBgAAAAAGAAYAWwEA&#10;ALUDAAAAAA==&#10;">
              <v:path arrowok="t"/>
              <v:fill on="f" focussize="0,0"/>
              <v:stroke color="#000000" joinstyle="round" endarrow="block"/>
              <v:imagedata o:title=""/>
              <o:lock v:ext="edit" aspectratio="f"/>
            </v:shape>
            <v:shape id="文本框 105" o:spid="_x0000_s2552" o:spt="202" type="#_x0000_t202" style="position:absolute;left:8023;top:1957;height:808;width:1904;" filled="f" stroked="f" coordsize="21600,21600" o:gfxdata="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viJu5AAAA3AAA&#10;AA8AAAAAAAAAAQAgAAAAIgAAAGRycy9kb3ducmV2LnhtbFBLAQIUABQAAAAIAIdO4kAzLwWeOwAA&#10;ADkAAAAQAAAAAAAAAAEAIAAAAAgBAABkcnMvc2hhcGV4bWwueG1sUEsFBgAAAAAGAAYAWwEAALID&#10;AAAAAA==&#10;">
              <v:path/>
              <v:fill on="f" focussize="0,0"/>
              <v:stroke on="f"/>
              <v:imagedata o:title=""/>
              <o:lock v:ext="edit" aspectratio="f"/>
              <v:textbox style="mso-fit-shape-to-text:t;">
                <w:txbxContent>
                  <w:p>
                    <w:pPr>
                      <w:pStyle w:val="15"/>
                      <w:kinsoku/>
                      <w:ind w:left="0"/>
                      <w:jc w:val="left"/>
                    </w:pPr>
                    <w:r>
                      <w:rPr>
                        <w:rFonts w:ascii="仿宋" w:hAnsi="Times New Roman" w:eastAsia="仿宋"/>
                        <w:color w:val="000000" w:themeColor="text1"/>
                        <w:kern w:val="2"/>
                        <w:sz w:val="24"/>
                        <w:szCs w:val="24"/>
                      </w:rPr>
                      <w:t>生活污水</w:t>
                    </w:r>
                    <w:r>
                      <w:rPr>
                        <w:rFonts w:hint="eastAsia" w:ascii="仿宋" w:hAnsi="Times New Roman" w:eastAsia="仿宋"/>
                        <w:color w:val="000000" w:themeColor="text1"/>
                        <w:kern w:val="2"/>
                        <w:sz w:val="24"/>
                        <w:szCs w:val="24"/>
                        <w:lang w:val="en-US" w:eastAsia="zh-CN"/>
                      </w:rPr>
                      <w:t>2592</w:t>
                    </w:r>
                  </w:p>
                </w:txbxContent>
              </v:textbox>
            </v:shape>
            <v:shape id="文本框 106" o:spid="_x0000_s2553" o:spt="202" type="#_x0000_t202" style="position:absolute;left:8264;top:6987;height:808;width:1338;" filled="f" stroked="f" coordsize="21600,21600" o:gfxdata="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y0AugAAANwA&#10;AAAPAAAAAAAAAAEAIAAAACIAAABkcnMvZG93bnJldi54bWxQSwECFAAUAAAACACHTuJAMy8FnjsA&#10;AAA5AAAAEAAAAAAAAAABACAAAAAJAQAAZHJzL3NoYXBleG1sLnhtbFBLBQYAAAAABgAGAFsBAACz&#10;AwAAAAA=&#10;">
              <v:path/>
              <v:fill on="f" focussize="0,0"/>
              <v:stroke on="f"/>
              <v:imagedata o:title=""/>
              <o:lock v:ext="edit" aspectratio="f"/>
              <v:textbox style="mso-fit-shape-to-text:t;">
                <w:txbxContent>
                  <w:p>
                    <w:pPr>
                      <w:pStyle w:val="15"/>
                      <w:kinsoku/>
                      <w:ind w:left="0"/>
                      <w:jc w:val="left"/>
                    </w:pPr>
                    <w:r>
                      <w:rPr>
                        <w:rFonts w:ascii="仿宋" w:hAnsi="Times New Roman" w:eastAsia="仿宋"/>
                        <w:color w:val="000000" w:themeColor="text1"/>
                        <w:kern w:val="2"/>
                        <w:sz w:val="24"/>
                        <w:szCs w:val="24"/>
                      </w:rPr>
                      <w:t>废水1</w:t>
                    </w:r>
                    <w:r>
                      <w:rPr>
                        <w:rFonts w:hint="eastAsia" w:ascii="仿宋" w:hAnsi="Times New Roman" w:eastAsia="仿宋"/>
                        <w:color w:val="000000" w:themeColor="text1"/>
                        <w:kern w:val="2"/>
                        <w:sz w:val="24"/>
                        <w:szCs w:val="24"/>
                        <w:lang w:val="en-US" w:eastAsia="zh-CN"/>
                      </w:rPr>
                      <w:t>283</w:t>
                    </w:r>
                  </w:p>
                </w:txbxContent>
              </v:textbox>
            </v:shape>
            <v:shape id="文本框 110" o:spid="_x0000_s2554" o:spt="202" type="#_x0000_t202" style="position:absolute;left:10364;top:3471;height:1494;width:1623;" filled="f" stroked="f" coordsize="21600,21600" o:gfxdata="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fhjK5AAAA3AAA&#10;AA8AAAAAAAAAAQAgAAAAIgAAAGRycy9kb3ducmV2LnhtbFBLAQIUABQAAAAIAIdO4kAzLwWeOwAA&#10;ADkAAAAQAAAAAAAAAAEAIAAAAAgBAABkcnMvc2hhcGV4bWwueG1sUEsFBgAAAAAGAAYAWwEAALID&#10;AAAAAA==&#10;">
              <v:path/>
              <v:fill on="f" focussize="0,0"/>
              <v:stroke on="f"/>
              <v:imagedata o:title=""/>
              <o:lock v:ext="edit" aspectratio="f"/>
              <v:textbox style="mso-fit-shape-to-text:t;">
                <w:txbxContent>
                  <w:p>
                    <w:pPr>
                      <w:pStyle w:val="15"/>
                      <w:kinsoku/>
                      <w:ind w:left="0"/>
                      <w:jc w:val="left"/>
                    </w:pPr>
                    <w:r>
                      <w:rPr>
                        <w:rFonts w:ascii="仿宋" w:hAnsi="Times New Roman" w:eastAsia="仿宋"/>
                        <w:color w:val="000000" w:themeColor="text1"/>
                        <w:kern w:val="2"/>
                        <w:sz w:val="24"/>
                        <w:szCs w:val="24"/>
                      </w:rPr>
                      <w:t>进入厂区污水处理站集中处理</w:t>
                    </w:r>
                    <w:r>
                      <w:rPr>
                        <w:rFonts w:hint="eastAsia" w:ascii="仿宋" w:hAnsi="Times New Roman" w:eastAsia="仿宋"/>
                        <w:color w:val="000000" w:themeColor="text1"/>
                        <w:kern w:val="2"/>
                        <w:sz w:val="24"/>
                        <w:szCs w:val="24"/>
                        <w:lang w:val="en-US" w:eastAsia="zh-CN"/>
                      </w:rPr>
                      <w:t>3875</w:t>
                    </w:r>
                  </w:p>
                </w:txbxContent>
              </v:textbox>
            </v:shape>
            <v:shape id="文本框 113" o:spid="_x0000_s2555" o:spt="202" type="#_x0000_t202" style="position:absolute;left:4310;top:8079;height:1801;width:5911;" filled="f" stroked="f" coordsize="21600,21600" o:gfxdata="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CWqugAAANwA&#10;AAAPAAAAAAAAAAEAIAAAACIAAABkcnMvZG93bnJldi54bWxQSwECFAAUAAAACACHTuJAMy8FnjsA&#10;AAA5AAAAEAAAAAAAAAABACAAAAAJAQAAZHJzL3NoYXBleG1sLnhtbFBLBQYAAAAABgAGAFsBAACz&#10;AwAAAAA=&#10;">
              <v:path/>
              <v:fill on="f" focussize="0,0"/>
              <v:stroke on="f"/>
              <v:imagedata o:title=""/>
              <o:lock v:ext="edit" aspectratio="f"/>
              <v:textbox style="mso-fit-shape-to-text:t;">
                <w:txbxContent>
                  <w:p>
                    <w:pPr>
                      <w:pStyle w:val="15"/>
                      <w:kinsoku/>
                      <w:ind w:left="0"/>
                      <w:jc w:val="left"/>
                    </w:pPr>
                    <w:r>
                      <w:rPr>
                        <w:rFonts w:ascii="仿宋" w:eastAsia="仿宋" w:hAnsiTheme="minorBidi"/>
                        <w:b/>
                        <w:color w:val="000000" w:themeColor="text1"/>
                        <w:kern w:val="24"/>
                        <w:sz w:val="28"/>
                        <w:szCs w:val="28"/>
                      </w:rPr>
                      <w:t>图2.2-4    本项目用水排水平衡图（m</w:t>
                    </w:r>
                    <w:r>
                      <w:rPr>
                        <w:rFonts w:ascii="仿宋" w:eastAsia="仿宋" w:hAnsiTheme="minorBidi"/>
                        <w:b/>
                        <w:color w:val="000000" w:themeColor="text1"/>
                        <w:kern w:val="24"/>
                        <w:position w:val="1"/>
                        <w:sz w:val="28"/>
                        <w:szCs w:val="28"/>
                        <w:vertAlign w:val="superscript"/>
                      </w:rPr>
                      <w:t>3</w:t>
                    </w:r>
                    <w:r>
                      <w:rPr>
                        <w:rFonts w:ascii="仿宋" w:eastAsia="仿宋" w:hAnsiTheme="minorBidi"/>
                        <w:b/>
                        <w:color w:val="000000" w:themeColor="text1"/>
                        <w:kern w:val="24"/>
                        <w:sz w:val="28"/>
                        <w:szCs w:val="28"/>
                      </w:rPr>
                      <w:t>/a）</w:t>
                    </w:r>
                  </w:p>
                  <w:p>
                    <w:pPr>
                      <w:pStyle w:val="15"/>
                      <w:kinsoku/>
                      <w:ind w:left="0"/>
                      <w:jc w:val="left"/>
                    </w:pPr>
                  </w:p>
                </w:txbxContent>
              </v:textbox>
            </v:shape>
            <w10:wrap type="none"/>
            <w10:anchorlock/>
          </v:group>
        </w:pict>
      </w: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spacing w:before="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表2.2-</w:t>
      </w:r>
      <w:r>
        <w:rPr>
          <w:rFonts w:hint="eastAsia" w:asciiTheme="minorEastAsia" w:hAnsiTheme="minorEastAsia" w:eastAsiaTheme="minorEastAsia" w:cstheme="minorEastAsia"/>
          <w:b/>
          <w:sz w:val="28"/>
          <w:szCs w:val="28"/>
          <w:lang w:val="en-US" w:eastAsia="zh-CN"/>
        </w:rPr>
        <w:t>3</w:t>
      </w:r>
      <w:r>
        <w:rPr>
          <w:rFonts w:hint="eastAsia" w:asciiTheme="minorEastAsia" w:hAnsiTheme="minorEastAsia" w:eastAsiaTheme="minorEastAsia" w:cstheme="minorEastAsia"/>
          <w:b/>
          <w:sz w:val="28"/>
          <w:szCs w:val="28"/>
        </w:rPr>
        <w:t xml:space="preserve">  本项目废水产生及处理情况</w:t>
      </w:r>
    </w:p>
    <w:tbl>
      <w:tblPr>
        <w:tblStyle w:val="20"/>
        <w:tblW w:w="978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00"/>
        <w:gridCol w:w="851"/>
        <w:gridCol w:w="992"/>
        <w:gridCol w:w="995"/>
        <w:gridCol w:w="1132"/>
        <w:gridCol w:w="851"/>
        <w:gridCol w:w="992"/>
        <w:gridCol w:w="992"/>
        <w:gridCol w:w="992"/>
        <w:gridCol w:w="9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000"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废水</w:t>
            </w:r>
          </w:p>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来源</w:t>
            </w:r>
          </w:p>
        </w:tc>
        <w:tc>
          <w:tcPr>
            <w:tcW w:w="851"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废水量</w:t>
            </w:r>
          </w:p>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(t/a)</w:t>
            </w:r>
          </w:p>
        </w:tc>
        <w:tc>
          <w:tcPr>
            <w:tcW w:w="992"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污染物</w:t>
            </w:r>
          </w:p>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名称</w:t>
            </w:r>
          </w:p>
        </w:tc>
        <w:tc>
          <w:tcPr>
            <w:tcW w:w="2127" w:type="dxa"/>
            <w:gridSpan w:val="2"/>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污染物产生量</w:t>
            </w:r>
          </w:p>
        </w:tc>
        <w:tc>
          <w:tcPr>
            <w:tcW w:w="851"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治理</w:t>
            </w:r>
          </w:p>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措施</w:t>
            </w:r>
          </w:p>
        </w:tc>
        <w:tc>
          <w:tcPr>
            <w:tcW w:w="1984" w:type="dxa"/>
            <w:gridSpan w:val="2"/>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污染物</w:t>
            </w:r>
            <w:r>
              <w:rPr>
                <w:rFonts w:hint="default" w:ascii="Times New Roman" w:hAnsi="Times New Roman" w:cs="Times New Roman" w:eastAsiaTheme="minorEastAsia"/>
                <w:sz w:val="24"/>
                <w:lang w:val="en-US" w:eastAsia="zh-CN"/>
              </w:rPr>
              <w:t>接管</w:t>
            </w:r>
            <w:r>
              <w:rPr>
                <w:rFonts w:hint="default" w:ascii="Times New Roman" w:hAnsi="Times New Roman" w:cs="Times New Roman" w:eastAsiaTheme="minorEastAsia"/>
                <w:sz w:val="24"/>
              </w:rPr>
              <w:t>量</w:t>
            </w:r>
          </w:p>
        </w:tc>
        <w:tc>
          <w:tcPr>
            <w:tcW w:w="992"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接管</w:t>
            </w:r>
            <w:r>
              <w:rPr>
                <w:rFonts w:hint="default" w:ascii="Times New Roman" w:hAnsi="Times New Roman" w:cs="Times New Roman" w:eastAsiaTheme="minorEastAsia"/>
                <w:sz w:val="24"/>
                <w:lang w:val="en-US" w:eastAsia="zh-CN"/>
              </w:rPr>
              <w:t>标准</w:t>
            </w:r>
            <w:r>
              <w:rPr>
                <w:rFonts w:hint="default" w:ascii="Times New Roman" w:hAnsi="Times New Roman" w:cs="Times New Roman" w:eastAsiaTheme="minorEastAsia"/>
                <w:sz w:val="24"/>
              </w:rPr>
              <w:t>(mg/l)</w:t>
            </w:r>
          </w:p>
        </w:tc>
        <w:tc>
          <w:tcPr>
            <w:tcW w:w="992" w:type="dxa"/>
            <w:vMerge w:val="restart"/>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排放去向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000"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5"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浓度(mg/l)</w:t>
            </w:r>
          </w:p>
        </w:tc>
        <w:tc>
          <w:tcPr>
            <w:tcW w:w="113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产生量(t/a)</w:t>
            </w: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浓度(mg/l)</w:t>
            </w: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en-US" w:eastAsia="zh-CN"/>
              </w:rPr>
              <w:t>接管</w:t>
            </w:r>
            <w:r>
              <w:rPr>
                <w:rFonts w:hint="default" w:ascii="Times New Roman" w:hAnsi="Times New Roman" w:cs="Times New Roman" w:eastAsiaTheme="minorEastAsia"/>
                <w:sz w:val="24"/>
              </w:rPr>
              <w:t>量(t/a)</w:t>
            </w:r>
          </w:p>
        </w:tc>
        <w:tc>
          <w:tcPr>
            <w:tcW w:w="992" w:type="dxa"/>
            <w:vMerge w:val="continue"/>
            <w:tcBorders>
              <w:bottom w:val="single" w:color="auto" w:sz="4" w:space="0"/>
            </w:tcBorders>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vMerge w:val="continue"/>
            <w:tcBorders>
              <w:bottom w:val="single" w:color="auto" w:sz="4" w:space="0"/>
            </w:tcBorders>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431" w:hRule="atLeast"/>
          <w:jc w:val="center"/>
        </w:trPr>
        <w:tc>
          <w:tcPr>
            <w:tcW w:w="1000"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bookmarkStart w:id="39" w:name="_Hlk317510776"/>
            <w:r>
              <w:rPr>
                <w:rFonts w:hint="default" w:ascii="Times New Roman" w:hAnsi="Times New Roman" w:cs="Times New Roman" w:eastAsiaTheme="minorEastAsia"/>
                <w:sz w:val="24"/>
              </w:rPr>
              <w:t>生活污水</w:t>
            </w:r>
          </w:p>
        </w:tc>
        <w:tc>
          <w:tcPr>
            <w:tcW w:w="851"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lang w:eastAsia="zh-CN"/>
              </w:rPr>
            </w:pPr>
            <w:r>
              <w:rPr>
                <w:rFonts w:hint="eastAsia" w:cs="Times New Roman" w:eastAsiaTheme="minorEastAsia"/>
                <w:sz w:val="24"/>
                <w:lang w:val="en-US" w:eastAsia="zh-CN"/>
              </w:rPr>
              <w:t>2592</w:t>
            </w: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COD</w:t>
            </w:r>
          </w:p>
        </w:tc>
        <w:tc>
          <w:tcPr>
            <w:tcW w:w="995" w:type="dxa"/>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350</w:t>
            </w:r>
          </w:p>
        </w:tc>
        <w:tc>
          <w:tcPr>
            <w:tcW w:w="1132" w:type="dxa"/>
            <w:tcMar>
              <w:left w:w="0" w:type="dxa"/>
              <w:right w:w="0" w:type="dxa"/>
            </w:tcMar>
            <w:vAlign w:val="center"/>
          </w:tcPr>
          <w:p>
            <w:pPr>
              <w:adjustRightInd w:val="0"/>
              <w:snapToGrid w:val="0"/>
              <w:jc w:val="center"/>
              <w:rPr>
                <w:rFonts w:hint="eastAsia" w:ascii="Times New Roman" w:hAnsi="Times New Roman" w:cs="Times New Roman" w:eastAsiaTheme="minorEastAsia"/>
                <w:sz w:val="24"/>
                <w:lang w:eastAsia="zh-CN"/>
              </w:rPr>
            </w:pPr>
            <w:r>
              <w:rPr>
                <w:rFonts w:hint="eastAsia" w:cs="Times New Roman" w:eastAsiaTheme="minorEastAsia"/>
                <w:sz w:val="24"/>
                <w:lang w:val="en-US" w:eastAsia="zh-CN"/>
              </w:rPr>
              <w:t>0.91</w:t>
            </w:r>
          </w:p>
        </w:tc>
        <w:tc>
          <w:tcPr>
            <w:tcW w:w="851" w:type="dxa"/>
            <w:vMerge w:val="restart"/>
            <w:tcBorders>
              <w:top w:val="single" w:color="auto" w:sz="4" w:space="0"/>
            </w:tcBorders>
            <w:tcMar>
              <w:left w:w="0" w:type="dxa"/>
              <w:right w:w="0" w:type="dxa"/>
            </w:tcMar>
            <w:vAlign w:val="center"/>
          </w:tcPr>
          <w:p>
            <w:pPr>
              <w:pStyle w:val="47"/>
              <w:rPr>
                <w:rFonts w:hint="default" w:ascii="Times New Roman" w:hAnsi="Times New Roman" w:cs="Times New Roman" w:eastAsiaTheme="minorEastAsia"/>
              </w:rPr>
            </w:pPr>
            <w:r>
              <w:rPr>
                <w:rFonts w:hint="default" w:ascii="Times New Roman" w:hAnsi="Times New Roman" w:cs="Times New Roman" w:eastAsiaTheme="minorEastAsia"/>
              </w:rPr>
              <w:t>化粪池</w:t>
            </w:r>
            <w:r>
              <w:rPr>
                <w:rFonts w:hint="default" w:ascii="Times New Roman" w:hAnsi="Times New Roman" w:cs="Times New Roman" w:eastAsiaTheme="minorEastAsia"/>
                <w:lang w:val="en-US" w:eastAsia="zh-CN"/>
              </w:rPr>
              <w:t>预处理后接管</w:t>
            </w:r>
            <w:r>
              <w:rPr>
                <w:rFonts w:hint="default" w:ascii="Times New Roman" w:hAnsi="Times New Roman" w:cs="Times New Roman" w:eastAsiaTheme="minorEastAsia"/>
                <w:sz w:val="24"/>
              </w:rPr>
              <w:t>丹阳市沃特污水处理厂</w:t>
            </w:r>
          </w:p>
        </w:tc>
        <w:tc>
          <w:tcPr>
            <w:tcW w:w="992" w:type="dxa"/>
            <w:tcBorders>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350</w:t>
            </w:r>
          </w:p>
        </w:tc>
        <w:tc>
          <w:tcPr>
            <w:tcW w:w="992" w:type="dxa"/>
            <w:tcBorders>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eastAsia" w:cs="Times New Roman" w:eastAsiaTheme="minorEastAsia"/>
                <w:sz w:val="24"/>
                <w:lang w:val="en-US" w:eastAsia="zh-CN"/>
              </w:rPr>
              <w:t>0.91</w:t>
            </w:r>
          </w:p>
        </w:tc>
        <w:tc>
          <w:tcPr>
            <w:tcW w:w="992" w:type="dxa"/>
            <w:tcBorders>
              <w:top w:val="single" w:color="auto" w:sz="4" w:space="0"/>
              <w:bottom w:val="single" w:color="auto" w:sz="4" w:space="0"/>
            </w:tcBorders>
            <w:tcMar>
              <w:left w:w="0" w:type="dxa"/>
              <w:right w:w="0" w:type="dxa"/>
            </w:tcMar>
            <w:vAlign w:val="center"/>
          </w:tcPr>
          <w:p>
            <w:pPr>
              <w:adjustRightInd w:val="0"/>
              <w:snapToGrid w:val="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≤350</w:t>
            </w:r>
          </w:p>
        </w:tc>
        <w:tc>
          <w:tcPr>
            <w:tcW w:w="992" w:type="dxa"/>
            <w:vMerge w:val="restart"/>
            <w:tcBorders>
              <w:top w:val="single" w:color="auto" w:sz="4" w:space="0"/>
            </w:tcBorders>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京杭运河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31" w:hRule="atLeast"/>
          <w:jc w:val="center"/>
        </w:trPr>
        <w:tc>
          <w:tcPr>
            <w:tcW w:w="1000"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SS</w:t>
            </w:r>
          </w:p>
        </w:tc>
        <w:tc>
          <w:tcPr>
            <w:tcW w:w="995" w:type="dxa"/>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400</w:t>
            </w:r>
          </w:p>
        </w:tc>
        <w:tc>
          <w:tcPr>
            <w:tcW w:w="1132" w:type="dxa"/>
            <w:tcMar>
              <w:left w:w="0" w:type="dxa"/>
              <w:right w:w="0" w:type="dxa"/>
            </w:tcMar>
            <w:vAlign w:val="center"/>
          </w:tcPr>
          <w:p>
            <w:pPr>
              <w:adjustRightInd w:val="0"/>
              <w:snapToGrid w:val="0"/>
              <w:jc w:val="center"/>
              <w:rPr>
                <w:rFonts w:hint="eastAsia" w:ascii="Times New Roman" w:hAnsi="Times New Roman" w:cs="Times New Roman" w:eastAsiaTheme="minorEastAsia"/>
                <w:sz w:val="24"/>
                <w:lang w:eastAsia="zh-CN"/>
              </w:rPr>
            </w:pPr>
            <w:r>
              <w:rPr>
                <w:rFonts w:hint="eastAsia" w:cs="Times New Roman" w:eastAsiaTheme="minorEastAsia"/>
                <w:sz w:val="24"/>
                <w:lang w:val="en-US" w:eastAsia="zh-CN"/>
              </w:rPr>
              <w:t>1.04</w:t>
            </w: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400</w:t>
            </w: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eastAsia" w:cs="Times New Roman" w:eastAsiaTheme="minorEastAsia"/>
                <w:sz w:val="24"/>
                <w:lang w:val="en-US" w:eastAsia="zh-CN"/>
              </w:rPr>
              <w:t>1.04</w:t>
            </w:r>
          </w:p>
        </w:tc>
        <w:tc>
          <w:tcPr>
            <w:tcW w:w="992" w:type="dxa"/>
            <w:tcBorders>
              <w:top w:val="single" w:color="auto" w:sz="4" w:space="0"/>
              <w:bottom w:val="single" w:color="auto" w:sz="4" w:space="0"/>
            </w:tcBorders>
            <w:tcMar>
              <w:left w:w="0" w:type="dxa"/>
              <w:right w:w="0" w:type="dxa"/>
            </w:tcMar>
            <w:vAlign w:val="center"/>
          </w:tcPr>
          <w:p>
            <w:pPr>
              <w:adjustRightInd w:val="0"/>
              <w:snapToGrid w:val="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≤400</w:t>
            </w:r>
          </w:p>
        </w:tc>
        <w:tc>
          <w:tcPr>
            <w:tcW w:w="992" w:type="dxa"/>
            <w:vMerge w:val="continue"/>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75" w:hRule="atLeast"/>
          <w:jc w:val="center"/>
        </w:trPr>
        <w:tc>
          <w:tcPr>
            <w:tcW w:w="1000"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氨氮</w:t>
            </w:r>
          </w:p>
        </w:tc>
        <w:tc>
          <w:tcPr>
            <w:tcW w:w="995" w:type="dxa"/>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25</w:t>
            </w:r>
          </w:p>
        </w:tc>
        <w:tc>
          <w:tcPr>
            <w:tcW w:w="1132" w:type="dxa"/>
            <w:tcMar>
              <w:left w:w="0" w:type="dxa"/>
              <w:right w:w="0" w:type="dxa"/>
            </w:tcMar>
            <w:vAlign w:val="center"/>
          </w:tcPr>
          <w:p>
            <w:pPr>
              <w:adjustRightInd w:val="0"/>
              <w:snapToGrid w:val="0"/>
              <w:jc w:val="center"/>
              <w:rPr>
                <w:rFonts w:hint="eastAsia" w:ascii="Times New Roman" w:hAnsi="Times New Roman" w:cs="Times New Roman" w:eastAsiaTheme="minorEastAsia"/>
                <w:sz w:val="24"/>
                <w:lang w:eastAsia="zh-CN"/>
              </w:rPr>
            </w:pPr>
            <w:r>
              <w:rPr>
                <w:rFonts w:hint="eastAsia" w:cs="Times New Roman" w:eastAsiaTheme="minorEastAsia"/>
                <w:sz w:val="24"/>
                <w:lang w:val="en-US" w:eastAsia="zh-CN"/>
              </w:rPr>
              <w:t>0.065</w:t>
            </w: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25</w:t>
            </w: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eastAsia" w:cs="Times New Roman" w:eastAsiaTheme="minorEastAsia"/>
                <w:sz w:val="24"/>
                <w:lang w:val="en-US" w:eastAsia="zh-CN"/>
              </w:rPr>
              <w:t>0.065</w:t>
            </w:r>
          </w:p>
        </w:tc>
        <w:tc>
          <w:tcPr>
            <w:tcW w:w="992" w:type="dxa"/>
            <w:tcBorders>
              <w:top w:val="single" w:color="auto" w:sz="4" w:space="0"/>
              <w:bottom w:val="single" w:color="auto" w:sz="4" w:space="0"/>
            </w:tcBorders>
            <w:tcMar>
              <w:left w:w="0" w:type="dxa"/>
              <w:right w:w="0" w:type="dxa"/>
            </w:tcMar>
            <w:vAlign w:val="center"/>
          </w:tcPr>
          <w:p>
            <w:pPr>
              <w:adjustRightInd w:val="0"/>
              <w:snapToGrid w:val="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≤25</w:t>
            </w:r>
          </w:p>
        </w:tc>
        <w:tc>
          <w:tcPr>
            <w:tcW w:w="992" w:type="dxa"/>
            <w:vMerge w:val="continue"/>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000"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总磷</w:t>
            </w:r>
          </w:p>
        </w:tc>
        <w:tc>
          <w:tcPr>
            <w:tcW w:w="995" w:type="dxa"/>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8</w:t>
            </w:r>
          </w:p>
        </w:tc>
        <w:tc>
          <w:tcPr>
            <w:tcW w:w="113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0.0</w:t>
            </w:r>
            <w:r>
              <w:rPr>
                <w:rFonts w:hint="eastAsia" w:cs="Times New Roman" w:eastAsiaTheme="minorEastAsia"/>
                <w:sz w:val="24"/>
                <w:lang w:val="en-US" w:eastAsia="zh-CN"/>
              </w:rPr>
              <w:t>21</w:t>
            </w: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8</w:t>
            </w: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0.0</w:t>
            </w:r>
            <w:r>
              <w:rPr>
                <w:rFonts w:hint="eastAsia" w:cs="Times New Roman" w:eastAsiaTheme="minorEastAsia"/>
                <w:sz w:val="24"/>
                <w:lang w:val="en-US" w:eastAsia="zh-CN"/>
              </w:rPr>
              <w:t>21</w:t>
            </w:r>
          </w:p>
        </w:tc>
        <w:tc>
          <w:tcPr>
            <w:tcW w:w="992" w:type="dxa"/>
            <w:tcBorders>
              <w:top w:val="single" w:color="auto" w:sz="4" w:space="0"/>
              <w:bottom w:val="single" w:color="auto" w:sz="4" w:space="0"/>
            </w:tcBorders>
            <w:tcMar>
              <w:left w:w="0" w:type="dxa"/>
              <w:right w:w="0" w:type="dxa"/>
            </w:tcMar>
            <w:vAlign w:val="center"/>
          </w:tcPr>
          <w:p>
            <w:pPr>
              <w:adjustRightInd w:val="0"/>
              <w:snapToGrid w:val="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≤8</w:t>
            </w:r>
          </w:p>
        </w:tc>
        <w:tc>
          <w:tcPr>
            <w:tcW w:w="992" w:type="dxa"/>
            <w:vMerge w:val="continue"/>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1217" w:hRule="atLeast"/>
          <w:jc w:val="center"/>
        </w:trPr>
        <w:tc>
          <w:tcPr>
            <w:tcW w:w="1000"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工业废水</w:t>
            </w:r>
          </w:p>
        </w:tc>
        <w:tc>
          <w:tcPr>
            <w:tcW w:w="851"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val="en-US" w:eastAsia="zh-CN"/>
              </w:rPr>
              <w:t>1</w:t>
            </w:r>
            <w:r>
              <w:rPr>
                <w:rFonts w:hint="eastAsia" w:cs="Times New Roman" w:eastAsiaTheme="minorEastAsia"/>
                <w:sz w:val="24"/>
                <w:lang w:val="en-US" w:eastAsia="zh-CN"/>
              </w:rPr>
              <w:t>283</w:t>
            </w: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COD</w:t>
            </w:r>
          </w:p>
        </w:tc>
        <w:tc>
          <w:tcPr>
            <w:tcW w:w="995" w:type="dxa"/>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350</w:t>
            </w:r>
          </w:p>
        </w:tc>
        <w:tc>
          <w:tcPr>
            <w:tcW w:w="1132" w:type="dxa"/>
            <w:tcMar>
              <w:left w:w="0" w:type="dxa"/>
              <w:right w:w="0" w:type="dxa"/>
            </w:tcMar>
            <w:vAlign w:val="center"/>
          </w:tcPr>
          <w:p>
            <w:pPr>
              <w:adjustRightInd w:val="0"/>
              <w:snapToGrid w:val="0"/>
              <w:jc w:val="center"/>
              <w:rPr>
                <w:rFonts w:hint="eastAsia" w:ascii="Times New Roman" w:hAnsi="Times New Roman" w:cs="Times New Roman" w:eastAsiaTheme="minorEastAsia"/>
                <w:sz w:val="24"/>
                <w:lang w:eastAsia="zh-CN"/>
              </w:rPr>
            </w:pPr>
            <w:r>
              <w:rPr>
                <w:rFonts w:hint="eastAsia" w:cs="Times New Roman" w:eastAsiaTheme="minorEastAsia"/>
                <w:sz w:val="24"/>
                <w:lang w:val="en-US" w:eastAsia="zh-CN"/>
              </w:rPr>
              <w:t>0.45</w:t>
            </w:r>
          </w:p>
        </w:tc>
        <w:tc>
          <w:tcPr>
            <w:tcW w:w="851" w:type="dxa"/>
            <w:vMerge w:val="restart"/>
            <w:tcMar>
              <w:left w:w="0" w:type="dxa"/>
              <w:right w:w="0" w:type="dxa"/>
            </w:tcMar>
            <w:vAlign w:val="center"/>
          </w:tcPr>
          <w:p>
            <w:pPr>
              <w:adjustRightInd w:val="0"/>
              <w:snapToGrid w:val="0"/>
              <w:jc w:val="center"/>
              <w:rPr>
                <w:rFonts w:hint="default" w:ascii="Times New Roman" w:hAnsi="Times New Roman" w:cs="Times New Roman" w:eastAsiaTheme="minorEastAsia"/>
                <w:color w:val="FF0000"/>
                <w:sz w:val="24"/>
              </w:rPr>
            </w:pPr>
            <w:r>
              <w:rPr>
                <w:rFonts w:hint="default" w:ascii="Times New Roman" w:hAnsi="Times New Roman" w:cs="Times New Roman" w:eastAsiaTheme="minorEastAsia"/>
                <w:spacing w:val="-8"/>
                <w:kern w:val="2"/>
                <w:sz w:val="24"/>
                <w:szCs w:val="24"/>
                <w:lang w:val="en-US" w:eastAsia="zh-CN" w:bidi="ar-SA"/>
              </w:rPr>
              <w:t>厂区污水处理站处理后接管丹阳市沃特污水处理厂</w:t>
            </w: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color w:val="FF0000"/>
                <w:sz w:val="24"/>
              </w:rPr>
            </w:pPr>
            <w:r>
              <w:rPr>
                <w:rFonts w:hint="default" w:ascii="Times New Roman" w:hAnsi="Times New Roman" w:cs="Times New Roman" w:eastAsiaTheme="minorEastAsia"/>
                <w:sz w:val="24"/>
              </w:rPr>
              <w:t>350</w:t>
            </w: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color w:val="FF0000"/>
                <w:sz w:val="24"/>
              </w:rPr>
            </w:pPr>
            <w:r>
              <w:rPr>
                <w:rFonts w:hint="eastAsia" w:cs="Times New Roman" w:eastAsiaTheme="minorEastAsia"/>
                <w:sz w:val="24"/>
                <w:lang w:val="en-US" w:eastAsia="zh-CN"/>
              </w:rPr>
              <w:t>0.45</w:t>
            </w:r>
          </w:p>
        </w:tc>
        <w:tc>
          <w:tcPr>
            <w:tcW w:w="992" w:type="dxa"/>
            <w:tcBorders>
              <w:top w:val="single" w:color="auto" w:sz="4" w:space="0"/>
              <w:bottom w:val="single" w:color="auto" w:sz="4" w:space="0"/>
            </w:tcBorders>
            <w:tcMar>
              <w:left w:w="0" w:type="dxa"/>
              <w:right w:w="0" w:type="dxa"/>
            </w:tcMar>
            <w:vAlign w:val="center"/>
          </w:tcPr>
          <w:p>
            <w:pPr>
              <w:adjustRightInd w:val="0"/>
              <w:snapToGrid w:val="0"/>
              <w:rPr>
                <w:rFonts w:hint="default" w:ascii="Times New Roman" w:hAnsi="Times New Roman" w:cs="Times New Roman" w:eastAsiaTheme="minorEastAsia"/>
                <w:color w:val="FF0000"/>
                <w:sz w:val="24"/>
              </w:rPr>
            </w:pPr>
            <w:r>
              <w:rPr>
                <w:rFonts w:hint="default" w:ascii="Times New Roman" w:hAnsi="Times New Roman" w:cs="Times New Roman" w:eastAsiaTheme="minorEastAsia"/>
                <w:sz w:val="24"/>
              </w:rPr>
              <w:t xml:space="preserve">  ≤350</w:t>
            </w:r>
          </w:p>
        </w:tc>
        <w:tc>
          <w:tcPr>
            <w:tcW w:w="992" w:type="dxa"/>
            <w:vMerge w:val="continue"/>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763" w:hRule="atLeast"/>
          <w:jc w:val="center"/>
        </w:trPr>
        <w:tc>
          <w:tcPr>
            <w:tcW w:w="1000"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p>
        </w:tc>
        <w:tc>
          <w:tcPr>
            <w:tcW w:w="992" w:type="dxa"/>
            <w:tcMar>
              <w:left w:w="0" w:type="dxa"/>
              <w:right w:w="0" w:type="dxa"/>
            </w:tcMar>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SS</w:t>
            </w:r>
          </w:p>
        </w:tc>
        <w:tc>
          <w:tcPr>
            <w:tcW w:w="995" w:type="dxa"/>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400</w:t>
            </w:r>
          </w:p>
        </w:tc>
        <w:tc>
          <w:tcPr>
            <w:tcW w:w="1132" w:type="dxa"/>
            <w:tcMar>
              <w:left w:w="0" w:type="dxa"/>
              <w:right w:w="0" w:type="dxa"/>
            </w:tcMar>
            <w:vAlign w:val="center"/>
          </w:tcPr>
          <w:p>
            <w:pPr>
              <w:adjustRightInd w:val="0"/>
              <w:snapToGrid w:val="0"/>
              <w:jc w:val="center"/>
              <w:rPr>
                <w:rFonts w:hint="eastAsia" w:ascii="Times New Roman" w:hAnsi="Times New Roman" w:cs="Times New Roman" w:eastAsiaTheme="minorEastAsia"/>
                <w:sz w:val="24"/>
                <w:lang w:eastAsia="zh-CN"/>
              </w:rPr>
            </w:pPr>
            <w:r>
              <w:rPr>
                <w:rFonts w:hint="eastAsia" w:cs="Times New Roman" w:eastAsiaTheme="minorEastAsia"/>
                <w:sz w:val="24"/>
                <w:lang w:val="en-US" w:eastAsia="zh-CN"/>
              </w:rPr>
              <w:t>0.51</w:t>
            </w:r>
          </w:p>
        </w:tc>
        <w:tc>
          <w:tcPr>
            <w:tcW w:w="851" w:type="dxa"/>
            <w:vMerge w:val="continue"/>
            <w:tcMar>
              <w:left w:w="0" w:type="dxa"/>
              <w:right w:w="0" w:type="dxa"/>
            </w:tcMar>
            <w:vAlign w:val="center"/>
          </w:tcPr>
          <w:p>
            <w:pPr>
              <w:adjustRightInd w:val="0"/>
              <w:snapToGrid w:val="0"/>
              <w:jc w:val="center"/>
              <w:rPr>
                <w:rFonts w:hint="default" w:ascii="Times New Roman" w:hAnsi="Times New Roman" w:cs="Times New Roman" w:eastAsiaTheme="minorEastAsia"/>
                <w:color w:val="FF0000"/>
                <w:sz w:val="24"/>
              </w:rPr>
            </w:pP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color w:val="FF0000"/>
                <w:sz w:val="24"/>
              </w:rPr>
            </w:pPr>
            <w:r>
              <w:rPr>
                <w:rFonts w:hint="default" w:ascii="Times New Roman" w:hAnsi="Times New Roman" w:cs="Times New Roman" w:eastAsiaTheme="minorEastAsia"/>
                <w:sz w:val="24"/>
              </w:rPr>
              <w:t>400</w:t>
            </w:r>
          </w:p>
        </w:tc>
        <w:tc>
          <w:tcPr>
            <w:tcW w:w="992" w:type="dxa"/>
            <w:tcBorders>
              <w:top w:val="single" w:color="auto" w:sz="4" w:space="0"/>
              <w:bottom w:val="single" w:color="auto" w:sz="4" w:space="0"/>
            </w:tcBorders>
            <w:tcMar>
              <w:left w:w="0" w:type="dxa"/>
              <w:right w:w="0" w:type="dxa"/>
            </w:tcMar>
            <w:textDirection w:val="lrTb"/>
            <w:vAlign w:val="center"/>
          </w:tcPr>
          <w:p>
            <w:pPr>
              <w:adjustRightInd w:val="0"/>
              <w:snapToGrid w:val="0"/>
              <w:jc w:val="center"/>
              <w:rPr>
                <w:rFonts w:hint="default" w:ascii="Times New Roman" w:hAnsi="Times New Roman" w:cs="Times New Roman" w:eastAsiaTheme="minorEastAsia"/>
                <w:color w:val="FF0000"/>
                <w:sz w:val="24"/>
              </w:rPr>
            </w:pPr>
            <w:r>
              <w:rPr>
                <w:rFonts w:hint="eastAsia" w:cs="Times New Roman" w:eastAsiaTheme="minorEastAsia"/>
                <w:sz w:val="24"/>
                <w:lang w:val="en-US" w:eastAsia="zh-CN"/>
              </w:rPr>
              <w:t>0.51</w:t>
            </w:r>
          </w:p>
        </w:tc>
        <w:tc>
          <w:tcPr>
            <w:tcW w:w="992" w:type="dxa"/>
            <w:tcBorders>
              <w:top w:val="single" w:color="auto" w:sz="4" w:space="0"/>
              <w:bottom w:val="single" w:color="auto" w:sz="4" w:space="0"/>
            </w:tcBorders>
            <w:tcMar>
              <w:left w:w="0" w:type="dxa"/>
              <w:right w:w="0" w:type="dxa"/>
            </w:tcMar>
            <w:vAlign w:val="center"/>
          </w:tcPr>
          <w:p>
            <w:pPr>
              <w:adjustRightInd w:val="0"/>
              <w:snapToGrid w:val="0"/>
              <w:rPr>
                <w:rFonts w:hint="default" w:ascii="Times New Roman" w:hAnsi="Times New Roman" w:cs="Times New Roman" w:eastAsiaTheme="minorEastAsia"/>
                <w:color w:val="FF0000"/>
                <w:sz w:val="24"/>
              </w:rPr>
            </w:pPr>
            <w:r>
              <w:rPr>
                <w:rFonts w:hint="default" w:ascii="Times New Roman" w:hAnsi="Times New Roman" w:cs="Times New Roman" w:eastAsiaTheme="minorEastAsia"/>
                <w:sz w:val="24"/>
              </w:rPr>
              <w:t xml:space="preserve">  ≤400</w:t>
            </w:r>
          </w:p>
        </w:tc>
        <w:tc>
          <w:tcPr>
            <w:tcW w:w="992" w:type="dxa"/>
            <w:vMerge w:val="continue"/>
            <w:tcMar>
              <w:left w:w="0" w:type="dxa"/>
              <w:right w:w="0" w:type="dxa"/>
            </w:tcMar>
            <w:vAlign w:val="center"/>
          </w:tcPr>
          <w:p>
            <w:pPr>
              <w:adjustRightInd w:val="0"/>
              <w:snapToGrid w:val="0"/>
              <w:jc w:val="center"/>
              <w:rPr>
                <w:rFonts w:hint="eastAsia" w:asciiTheme="minorEastAsia" w:hAnsiTheme="minorEastAsia" w:eastAsiaTheme="minorEastAsia" w:cstheme="minorEastAsia"/>
                <w:sz w:val="24"/>
              </w:rPr>
            </w:pPr>
          </w:p>
        </w:tc>
      </w:tr>
      <w:bookmarkEnd w:id="39"/>
    </w:tbl>
    <w:p>
      <w:pPr>
        <w:pStyle w:val="32"/>
        <w:spacing w:before="240" w:beforeLines="100" w:after="120"/>
        <w:rPr>
          <w:rFonts w:hint="eastAsia" w:asciiTheme="minorEastAsia" w:hAnsiTheme="minorEastAsia" w:eastAsiaTheme="minorEastAsia" w:cstheme="minorEastAsia"/>
        </w:rPr>
        <w:sectPr>
          <w:pgSz w:w="11906" w:h="16838"/>
          <w:pgMar w:top="1797" w:right="1276" w:bottom="1797" w:left="1440" w:header="851" w:footer="992" w:gutter="0"/>
          <w:pgBorders>
            <w:top w:val="none" w:sz="0" w:space="0"/>
            <w:left w:val="none" w:sz="0" w:space="0"/>
            <w:bottom w:val="none" w:sz="0" w:space="0"/>
            <w:right w:val="none" w:sz="0" w:space="0"/>
          </w:pgBorders>
          <w:cols w:space="425" w:num="1"/>
          <w:docGrid w:linePitch="312" w:charSpace="0"/>
        </w:sectPr>
      </w:pPr>
    </w:p>
    <w:p>
      <w:pPr>
        <w:pStyle w:val="32"/>
        <w:spacing w:before="120" w:after="120"/>
        <w:outlineLvl w:val="3"/>
        <w:rPr>
          <w:rFonts w:hint="eastAsia" w:asciiTheme="minorEastAsia" w:hAnsiTheme="minorEastAsia" w:eastAsiaTheme="minorEastAsia" w:cstheme="minorEastAsia"/>
        </w:rPr>
      </w:pPr>
      <w:bookmarkStart w:id="40" w:name="_Toc224440873"/>
      <w:r>
        <w:rPr>
          <w:rFonts w:hint="eastAsia" w:asciiTheme="minorEastAsia" w:hAnsiTheme="minorEastAsia" w:eastAsiaTheme="minorEastAsia" w:cstheme="minorEastAsia"/>
        </w:rPr>
        <w:t>2.2.2.3噪声</w:t>
      </w:r>
      <w:bookmarkEnd w:id="4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本项目营运期噪声源主要</w:t>
      </w:r>
      <w:r>
        <w:rPr>
          <w:rFonts w:hint="eastAsia" w:asciiTheme="minorEastAsia" w:hAnsiTheme="minorEastAsia" w:eastAsiaTheme="minorEastAsia" w:cstheme="minorEastAsia"/>
          <w:sz w:val="28"/>
          <w:szCs w:val="28"/>
          <w:highlight w:val="none"/>
        </w:rPr>
        <w:t>为</w:t>
      </w:r>
      <w:r>
        <w:rPr>
          <w:rFonts w:hint="eastAsia" w:asciiTheme="minorEastAsia" w:hAnsiTheme="minorEastAsia" w:eastAsiaTheme="minorEastAsia" w:cstheme="minorEastAsia"/>
          <w:sz w:val="28"/>
          <w:szCs w:val="28"/>
          <w:highlight w:val="none"/>
          <w:lang w:val="en-US" w:eastAsia="zh-CN"/>
        </w:rPr>
        <w:t>分切线</w:t>
      </w:r>
      <w:r>
        <w:rPr>
          <w:rFonts w:hint="eastAsia" w:asciiTheme="minorEastAsia" w:hAnsiTheme="minorEastAsia" w:eastAsiaTheme="minorEastAsia" w:cstheme="minorEastAsia"/>
          <w:sz w:val="28"/>
          <w:szCs w:val="28"/>
          <w:highlight w:val="none"/>
        </w:rPr>
        <w:t>等</w:t>
      </w:r>
      <w:r>
        <w:rPr>
          <w:rFonts w:hint="eastAsia" w:asciiTheme="minorEastAsia" w:hAnsiTheme="minorEastAsia" w:eastAsiaTheme="minorEastAsia" w:cstheme="minorEastAsia"/>
          <w:sz w:val="28"/>
          <w:szCs w:val="28"/>
        </w:rPr>
        <w:t>运行时产生的机械噪声，本项目生产设备优先选用降低噪声的国外先进设备，所有设备均放置于钢混结构的车间内，生产车间内设置了一定的吸音隔音材料。另外，本项目厂区总平面布置采取了合理的规划，主要声源车间距厂界均设置了道路和绿化隔离带，以减缓项目噪声对厂界声环境的影响。本项目噪声设备情况见表2.2-</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w:t>
      </w:r>
    </w:p>
    <w:p>
      <w:pPr>
        <w:pStyle w:val="5"/>
        <w:spacing w:before="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表2.2-</w:t>
      </w:r>
      <w:r>
        <w:rPr>
          <w:rFonts w:hint="eastAsia" w:asciiTheme="minorEastAsia" w:hAnsiTheme="minorEastAsia" w:eastAsiaTheme="minorEastAsia" w:cstheme="minorEastAsia"/>
          <w:b/>
          <w:sz w:val="28"/>
          <w:szCs w:val="28"/>
          <w:lang w:val="en-US" w:eastAsia="zh-CN"/>
        </w:rPr>
        <w:t>4</w:t>
      </w:r>
      <w:r>
        <w:rPr>
          <w:rFonts w:hint="eastAsia" w:asciiTheme="minorEastAsia" w:hAnsiTheme="minorEastAsia" w:eastAsiaTheme="minorEastAsia" w:cstheme="minorEastAsia"/>
          <w:b/>
          <w:sz w:val="28"/>
          <w:szCs w:val="28"/>
        </w:rPr>
        <w:t xml:space="preserve"> 噪声污染源产生及污染因子情况</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628"/>
        <w:gridCol w:w="1009"/>
        <w:gridCol w:w="954"/>
        <w:gridCol w:w="1774"/>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608"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序号</w:t>
            </w:r>
          </w:p>
        </w:tc>
        <w:tc>
          <w:tcPr>
            <w:tcW w:w="2628"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设备</w:t>
            </w:r>
          </w:p>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名称</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声级值dB(A)</w:t>
            </w:r>
          </w:p>
        </w:tc>
        <w:tc>
          <w:tcPr>
            <w:tcW w:w="954"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数量(台)</w:t>
            </w:r>
          </w:p>
        </w:tc>
        <w:tc>
          <w:tcPr>
            <w:tcW w:w="1774"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治理措施</w:t>
            </w:r>
          </w:p>
        </w:tc>
        <w:tc>
          <w:tcPr>
            <w:tcW w:w="1555"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08"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1</w:t>
            </w:r>
          </w:p>
        </w:tc>
        <w:tc>
          <w:tcPr>
            <w:tcW w:w="2628" w:type="dxa"/>
            <w:textDirection w:val="lrTb"/>
            <w:vAlign w:val="center"/>
          </w:tcPr>
          <w:p>
            <w:pPr>
              <w:jc w:val="center"/>
              <w:rPr>
                <w:rFonts w:hint="eastAsia" w:asciiTheme="minorEastAsia" w:hAnsiTheme="minorEastAsia" w:eastAsiaTheme="minorEastAsia" w:cstheme="minorEastAsia"/>
                <w:color w:val="auto"/>
                <w:spacing w:val="0"/>
                <w:szCs w:val="24"/>
                <w:highlight w:val="yellow"/>
              </w:rPr>
            </w:pPr>
            <w:r>
              <w:rPr>
                <w:rFonts w:hint="eastAsia" w:asciiTheme="minorEastAsia" w:hAnsiTheme="minorEastAsia" w:eastAsiaTheme="minorEastAsia" w:cstheme="minorEastAsia"/>
                <w:bCs/>
                <w:sz w:val="24"/>
              </w:rPr>
              <w:t>浸渍线</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82-86</w:t>
            </w:r>
          </w:p>
        </w:tc>
        <w:tc>
          <w:tcPr>
            <w:tcW w:w="954"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1</w:t>
            </w:r>
          </w:p>
        </w:tc>
        <w:tc>
          <w:tcPr>
            <w:tcW w:w="1774" w:type="dxa"/>
            <w:vMerge w:val="restart"/>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选用低噪音设备；消声减震；利用建筑物隔声屏蔽；加强操作管理和维护；合理布局等</w:t>
            </w: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9" w:hRule="atLeast"/>
          <w:jc w:val="center"/>
        </w:trPr>
        <w:tc>
          <w:tcPr>
            <w:tcW w:w="608"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2</w:t>
            </w:r>
          </w:p>
        </w:tc>
        <w:tc>
          <w:tcPr>
            <w:tcW w:w="2628" w:type="dxa"/>
            <w:textDirection w:val="lrTb"/>
            <w:vAlign w:val="center"/>
          </w:tcPr>
          <w:p>
            <w:pPr>
              <w:jc w:val="center"/>
              <w:rPr>
                <w:rFonts w:hint="eastAsia" w:asciiTheme="minorEastAsia" w:hAnsiTheme="minorEastAsia" w:eastAsiaTheme="minorEastAsia" w:cstheme="minorEastAsia"/>
                <w:sz w:val="24"/>
                <w:highlight w:val="yellow"/>
              </w:rPr>
            </w:pPr>
            <w:r>
              <w:rPr>
                <w:rFonts w:hint="eastAsia" w:asciiTheme="minorEastAsia" w:hAnsiTheme="minorEastAsia" w:eastAsiaTheme="minorEastAsia" w:cstheme="minorEastAsia"/>
                <w:bCs/>
                <w:sz w:val="24"/>
              </w:rPr>
              <w:t>浸胶线</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81-83</w:t>
            </w:r>
          </w:p>
        </w:tc>
        <w:tc>
          <w:tcPr>
            <w:tcW w:w="954" w:type="dxa"/>
            <w:vAlign w:val="center"/>
          </w:tcPr>
          <w:p>
            <w:pPr>
              <w:pStyle w:val="37"/>
              <w:rPr>
                <w:rFonts w:hint="eastAsia" w:asciiTheme="minorEastAsia" w:hAnsiTheme="minorEastAsia" w:eastAsiaTheme="minorEastAsia" w:cstheme="minorEastAsia"/>
                <w:color w:val="auto"/>
                <w:spacing w:val="0"/>
                <w:szCs w:val="24"/>
                <w:lang w:eastAsia="zh-CN"/>
              </w:rPr>
            </w:pPr>
            <w:r>
              <w:rPr>
                <w:rFonts w:hint="eastAsia" w:asciiTheme="minorEastAsia" w:hAnsiTheme="minorEastAsia" w:eastAsiaTheme="minorEastAsia" w:cstheme="minorEastAsia"/>
                <w:color w:val="auto"/>
                <w:spacing w:val="0"/>
                <w:szCs w:val="24"/>
                <w:lang w:val="en-US" w:eastAsia="zh-CN"/>
              </w:rPr>
              <w:t>1</w:t>
            </w:r>
          </w:p>
        </w:tc>
        <w:tc>
          <w:tcPr>
            <w:tcW w:w="1774" w:type="dxa"/>
            <w:vMerge w:val="continue"/>
            <w:vAlign w:val="center"/>
          </w:tcPr>
          <w:p>
            <w:pPr>
              <w:pStyle w:val="37"/>
              <w:rPr>
                <w:rFonts w:hint="eastAsia" w:asciiTheme="minorEastAsia" w:hAnsiTheme="minorEastAsia" w:eastAsiaTheme="minorEastAsia" w:cstheme="minorEastAsia"/>
                <w:color w:val="auto"/>
                <w:spacing w:val="0"/>
                <w:szCs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08"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3</w:t>
            </w:r>
          </w:p>
        </w:tc>
        <w:tc>
          <w:tcPr>
            <w:tcW w:w="2628" w:type="dxa"/>
            <w:textDirection w:val="lrTb"/>
            <w:vAlign w:val="center"/>
          </w:tcPr>
          <w:p>
            <w:pPr>
              <w:jc w:val="center"/>
              <w:rPr>
                <w:rFonts w:hint="eastAsia" w:asciiTheme="minorEastAsia" w:hAnsiTheme="minorEastAsia" w:eastAsiaTheme="minorEastAsia" w:cstheme="minorEastAsia"/>
                <w:sz w:val="24"/>
                <w:highlight w:val="yellow"/>
              </w:rPr>
            </w:pPr>
            <w:r>
              <w:rPr>
                <w:rFonts w:hint="eastAsia" w:asciiTheme="minorEastAsia" w:hAnsiTheme="minorEastAsia" w:eastAsiaTheme="minorEastAsia" w:cstheme="minorEastAsia"/>
                <w:bCs/>
                <w:sz w:val="24"/>
              </w:rPr>
              <w:t>压板线</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81-83</w:t>
            </w:r>
          </w:p>
        </w:tc>
        <w:tc>
          <w:tcPr>
            <w:tcW w:w="954"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1</w:t>
            </w:r>
          </w:p>
        </w:tc>
        <w:tc>
          <w:tcPr>
            <w:tcW w:w="1774" w:type="dxa"/>
            <w:vMerge w:val="continue"/>
            <w:vAlign w:val="center"/>
          </w:tcPr>
          <w:p>
            <w:pPr>
              <w:pStyle w:val="37"/>
              <w:rPr>
                <w:rFonts w:hint="eastAsia" w:asciiTheme="minorEastAsia" w:hAnsiTheme="minorEastAsia" w:eastAsiaTheme="minorEastAsia" w:cstheme="minorEastAsia"/>
                <w:color w:val="auto"/>
                <w:spacing w:val="0"/>
                <w:szCs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08"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4</w:t>
            </w:r>
          </w:p>
        </w:tc>
        <w:tc>
          <w:tcPr>
            <w:tcW w:w="2628" w:type="dxa"/>
            <w:textDirection w:val="lrTb"/>
            <w:vAlign w:val="center"/>
          </w:tcPr>
          <w:p>
            <w:pPr>
              <w:jc w:val="center"/>
              <w:rPr>
                <w:rFonts w:hint="eastAsia" w:asciiTheme="minorEastAsia" w:hAnsiTheme="minorEastAsia" w:eastAsiaTheme="minorEastAsia" w:cstheme="minorEastAsia"/>
                <w:sz w:val="24"/>
                <w:highlight w:val="yellow"/>
              </w:rPr>
            </w:pPr>
            <w:r>
              <w:rPr>
                <w:rFonts w:hint="eastAsia" w:asciiTheme="minorEastAsia" w:hAnsiTheme="minorEastAsia" w:eastAsiaTheme="minorEastAsia" w:cstheme="minorEastAsia"/>
                <w:bCs/>
                <w:sz w:val="24"/>
              </w:rPr>
              <w:t>分切线</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85-92</w:t>
            </w:r>
          </w:p>
        </w:tc>
        <w:tc>
          <w:tcPr>
            <w:tcW w:w="954" w:type="dxa"/>
            <w:vAlign w:val="center"/>
          </w:tcPr>
          <w:p>
            <w:pPr>
              <w:pStyle w:val="37"/>
              <w:rPr>
                <w:rFonts w:hint="eastAsia" w:asciiTheme="minorEastAsia" w:hAnsiTheme="minorEastAsia" w:eastAsiaTheme="minorEastAsia" w:cstheme="minorEastAsia"/>
                <w:color w:val="auto"/>
                <w:spacing w:val="0"/>
                <w:szCs w:val="24"/>
                <w:lang w:eastAsia="zh-CN"/>
              </w:rPr>
            </w:pPr>
            <w:r>
              <w:rPr>
                <w:rFonts w:hint="eastAsia" w:asciiTheme="minorEastAsia" w:hAnsiTheme="minorEastAsia" w:eastAsiaTheme="minorEastAsia" w:cstheme="minorEastAsia"/>
                <w:color w:val="auto"/>
                <w:spacing w:val="0"/>
                <w:szCs w:val="24"/>
                <w:lang w:val="en-US" w:eastAsia="zh-CN"/>
              </w:rPr>
              <w:t>1</w:t>
            </w:r>
          </w:p>
        </w:tc>
        <w:tc>
          <w:tcPr>
            <w:tcW w:w="1774" w:type="dxa"/>
            <w:vMerge w:val="continue"/>
            <w:vAlign w:val="center"/>
          </w:tcPr>
          <w:p>
            <w:pPr>
              <w:pStyle w:val="37"/>
              <w:rPr>
                <w:rFonts w:hint="eastAsia" w:asciiTheme="minorEastAsia" w:hAnsiTheme="minorEastAsia" w:eastAsiaTheme="minorEastAsia" w:cstheme="minorEastAsia"/>
                <w:color w:val="auto"/>
                <w:spacing w:val="0"/>
                <w:szCs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08" w:type="dxa"/>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val="en-US" w:eastAsia="zh-CN"/>
              </w:rPr>
              <w:t>5</w:t>
            </w:r>
          </w:p>
        </w:tc>
        <w:tc>
          <w:tcPr>
            <w:tcW w:w="2628" w:type="dxa"/>
            <w:textDirection w:val="lrTb"/>
            <w:vAlign w:val="center"/>
          </w:tcPr>
          <w:p>
            <w:pPr>
              <w:jc w:val="center"/>
              <w:rPr>
                <w:rFonts w:hint="eastAsia" w:asciiTheme="minorEastAsia" w:hAnsiTheme="minorEastAsia" w:eastAsiaTheme="minorEastAsia" w:cstheme="minorEastAsia"/>
                <w:sz w:val="24"/>
                <w:highlight w:val="yellow"/>
              </w:rPr>
            </w:pPr>
            <w:r>
              <w:rPr>
                <w:rFonts w:hint="eastAsia" w:asciiTheme="minorEastAsia" w:hAnsiTheme="minorEastAsia" w:eastAsiaTheme="minorEastAsia" w:cstheme="minorEastAsia"/>
                <w:bCs/>
                <w:sz w:val="24"/>
              </w:rPr>
              <w:t>铣槽线</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82-86</w:t>
            </w:r>
          </w:p>
        </w:tc>
        <w:tc>
          <w:tcPr>
            <w:tcW w:w="954" w:type="dxa"/>
            <w:vAlign w:val="center"/>
          </w:tcPr>
          <w:p>
            <w:pPr>
              <w:pStyle w:val="37"/>
              <w:rPr>
                <w:rFonts w:hint="eastAsia" w:asciiTheme="minorEastAsia" w:hAnsiTheme="minorEastAsia" w:eastAsiaTheme="minorEastAsia" w:cstheme="minorEastAsia"/>
                <w:color w:val="auto"/>
                <w:spacing w:val="0"/>
                <w:szCs w:val="24"/>
                <w:lang w:eastAsia="zh-CN"/>
              </w:rPr>
            </w:pPr>
            <w:r>
              <w:rPr>
                <w:rFonts w:hint="eastAsia" w:asciiTheme="minorEastAsia" w:hAnsiTheme="minorEastAsia" w:eastAsiaTheme="minorEastAsia" w:cstheme="minorEastAsia"/>
                <w:color w:val="auto"/>
                <w:spacing w:val="0"/>
                <w:szCs w:val="24"/>
                <w:lang w:val="en-US" w:eastAsia="zh-CN"/>
              </w:rPr>
              <w:t>2</w:t>
            </w:r>
          </w:p>
        </w:tc>
        <w:tc>
          <w:tcPr>
            <w:tcW w:w="1774" w:type="dxa"/>
            <w:vMerge w:val="continue"/>
            <w:vAlign w:val="center"/>
          </w:tcPr>
          <w:p>
            <w:pPr>
              <w:pStyle w:val="37"/>
              <w:rPr>
                <w:rFonts w:hint="eastAsia" w:asciiTheme="minorEastAsia" w:hAnsiTheme="minorEastAsia" w:eastAsiaTheme="minorEastAsia" w:cstheme="minorEastAsia"/>
                <w:color w:val="auto"/>
                <w:spacing w:val="0"/>
                <w:szCs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608" w:type="dxa"/>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val="en-US" w:eastAsia="zh-CN"/>
              </w:rPr>
              <w:t>6</w:t>
            </w:r>
          </w:p>
        </w:tc>
        <w:tc>
          <w:tcPr>
            <w:tcW w:w="2628" w:type="dxa"/>
            <w:textDirection w:val="lrTb"/>
            <w:vAlign w:val="center"/>
          </w:tcPr>
          <w:p>
            <w:pPr>
              <w:jc w:val="center"/>
              <w:rPr>
                <w:rFonts w:hint="eastAsia" w:asciiTheme="minorEastAsia" w:hAnsiTheme="minorEastAsia" w:eastAsiaTheme="minorEastAsia" w:cstheme="minorEastAsia"/>
                <w:sz w:val="24"/>
                <w:highlight w:val="yellow"/>
              </w:rPr>
            </w:pPr>
            <w:r>
              <w:rPr>
                <w:rFonts w:hint="eastAsia" w:asciiTheme="minorEastAsia" w:hAnsiTheme="minorEastAsia" w:eastAsiaTheme="minorEastAsia" w:cstheme="minorEastAsia"/>
                <w:bCs/>
                <w:sz w:val="24"/>
              </w:rPr>
              <w:t>热油炉</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80-85</w:t>
            </w:r>
          </w:p>
        </w:tc>
        <w:tc>
          <w:tcPr>
            <w:tcW w:w="95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774" w:type="dxa"/>
            <w:vMerge w:val="continue"/>
            <w:vAlign w:val="center"/>
          </w:tcPr>
          <w:p>
            <w:pPr>
              <w:jc w:val="center"/>
              <w:rPr>
                <w:rFonts w:hint="eastAsia" w:asciiTheme="minorEastAsia" w:hAnsiTheme="minorEastAsia" w:eastAsiaTheme="minorEastAsia" w:cstheme="minorEastAsia"/>
                <w:sz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608" w:type="dxa"/>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7</w:t>
            </w:r>
          </w:p>
        </w:tc>
        <w:tc>
          <w:tcPr>
            <w:tcW w:w="2628" w:type="dxa"/>
            <w:textDirection w:val="lrTb"/>
            <w:vAlign w:val="center"/>
          </w:tcPr>
          <w:p>
            <w:pPr>
              <w:jc w:val="center"/>
              <w:rPr>
                <w:rFonts w:hint="eastAsia" w:asciiTheme="minorEastAsia" w:hAnsiTheme="minorEastAsia" w:eastAsiaTheme="minorEastAsia" w:cstheme="minorEastAsia"/>
                <w:sz w:val="24"/>
                <w:highlight w:val="yellow"/>
              </w:rPr>
            </w:pPr>
            <w:r>
              <w:rPr>
                <w:rFonts w:hint="eastAsia" w:asciiTheme="minorEastAsia" w:hAnsiTheme="minorEastAsia" w:eastAsiaTheme="minorEastAsia" w:cstheme="minorEastAsia"/>
                <w:bCs/>
                <w:sz w:val="24"/>
              </w:rPr>
              <w:t>空压机</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88-93</w:t>
            </w:r>
          </w:p>
        </w:tc>
        <w:tc>
          <w:tcPr>
            <w:tcW w:w="954" w:type="dxa"/>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val="en-US" w:eastAsia="zh-CN"/>
              </w:rPr>
              <w:t>3</w:t>
            </w:r>
          </w:p>
        </w:tc>
        <w:tc>
          <w:tcPr>
            <w:tcW w:w="1774" w:type="dxa"/>
            <w:vMerge w:val="continue"/>
            <w:vAlign w:val="center"/>
          </w:tcPr>
          <w:p>
            <w:pPr>
              <w:jc w:val="center"/>
              <w:rPr>
                <w:rFonts w:hint="eastAsia" w:asciiTheme="minorEastAsia" w:hAnsiTheme="minorEastAsia" w:eastAsiaTheme="minorEastAsia" w:cstheme="minorEastAsia"/>
                <w:sz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608" w:type="dxa"/>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8</w:t>
            </w:r>
          </w:p>
        </w:tc>
        <w:tc>
          <w:tcPr>
            <w:tcW w:w="2628" w:type="dxa"/>
            <w:textDirection w:val="lrTb"/>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除尘器</w:t>
            </w:r>
          </w:p>
        </w:tc>
        <w:tc>
          <w:tcPr>
            <w:tcW w:w="1009" w:type="dxa"/>
            <w:vAlign w:val="center"/>
          </w:tcPr>
          <w:p>
            <w:pPr>
              <w:pStyle w:val="37"/>
              <w:rPr>
                <w:rFonts w:hint="eastAsia" w:asciiTheme="minorEastAsia" w:hAnsiTheme="minorEastAsia" w:eastAsiaTheme="minorEastAsia" w:cstheme="minorEastAsia"/>
                <w:color w:val="auto"/>
                <w:spacing w:val="0"/>
                <w:szCs w:val="24"/>
              </w:rPr>
            </w:pPr>
            <w:r>
              <w:rPr>
                <w:rFonts w:hint="eastAsia" w:asciiTheme="minorEastAsia" w:hAnsiTheme="minorEastAsia" w:eastAsiaTheme="minorEastAsia" w:cstheme="minorEastAsia"/>
                <w:color w:val="auto"/>
                <w:spacing w:val="0"/>
                <w:szCs w:val="24"/>
              </w:rPr>
              <w:t>88-93</w:t>
            </w:r>
          </w:p>
        </w:tc>
        <w:tc>
          <w:tcPr>
            <w:tcW w:w="954" w:type="dxa"/>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5</w:t>
            </w:r>
          </w:p>
        </w:tc>
        <w:tc>
          <w:tcPr>
            <w:tcW w:w="1774" w:type="dxa"/>
            <w:vMerge w:val="continue"/>
            <w:vAlign w:val="center"/>
          </w:tcPr>
          <w:p>
            <w:pPr>
              <w:jc w:val="center"/>
              <w:rPr>
                <w:rFonts w:hint="eastAsia" w:asciiTheme="minorEastAsia" w:hAnsiTheme="minorEastAsia" w:eastAsiaTheme="minorEastAsia" w:cstheme="minorEastAsia"/>
                <w:sz w:val="24"/>
              </w:rPr>
            </w:pPr>
          </w:p>
        </w:tc>
        <w:tc>
          <w:tcPr>
            <w:tcW w:w="1555" w:type="dxa"/>
            <w:vAlign w:val="center"/>
          </w:tcPr>
          <w:p>
            <w:pPr>
              <w:adjustRightInd w:val="0"/>
              <w:snapToGrid w:val="0"/>
              <w:jc w:val="center"/>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30</w:t>
            </w:r>
            <w:r>
              <w:rPr>
                <w:rFonts w:hint="eastAsia" w:asciiTheme="minorEastAsia" w:hAnsiTheme="minorEastAsia" w:eastAsiaTheme="minorEastAsia" w:cstheme="minorEastAsia"/>
                <w:color w:val="auto"/>
                <w:sz w:val="24"/>
              </w:rPr>
              <w:t>dB(A)</w:t>
            </w:r>
          </w:p>
        </w:tc>
      </w:tr>
    </w:tbl>
    <w:p>
      <w:pPr>
        <w:pStyle w:val="32"/>
        <w:spacing w:before="120" w:after="120"/>
        <w:outlineLvl w:val="3"/>
        <w:rPr>
          <w:rFonts w:hint="eastAsia" w:asciiTheme="minorEastAsia" w:hAnsiTheme="minorEastAsia" w:eastAsiaTheme="minorEastAsia" w:cstheme="minorEastAsia"/>
        </w:rPr>
      </w:pPr>
      <w:bookmarkStart w:id="41" w:name="_Toc224440874"/>
      <w:r>
        <w:rPr>
          <w:rFonts w:hint="eastAsia" w:asciiTheme="minorEastAsia" w:hAnsiTheme="minorEastAsia" w:eastAsiaTheme="minorEastAsia" w:cstheme="minorEastAsia"/>
        </w:rPr>
        <w:t>2.2.2.4固废</w:t>
      </w:r>
      <w:bookmarkEnd w:id="41"/>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本项目产生的固废主要有：废弃木材（残次品边角料），粉尘</w:t>
      </w:r>
    </w:p>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木屑，木炭灰渣，废胶水桶，废液压油，废活性炭，废油漆桶，生物污泥，生活垃圾等。</w:t>
      </w:r>
    </w:p>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根据《固体废物鉴别导则（试行）》的规定，首先对本项目产生的副产物进行是否属于固体废物的判断，判定结果见表2.2-</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。根据判定结果，本项目产生的固体废物分析结果汇总表2.2-</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w:t>
      </w:r>
    </w:p>
    <w:p>
      <w:pPr>
        <w:spacing w:line="360" w:lineRule="auto"/>
        <w:jc w:val="left"/>
        <w:rPr>
          <w:rFonts w:hint="eastAsia" w:asciiTheme="minorEastAsia" w:hAnsiTheme="minorEastAsia" w:eastAsiaTheme="minorEastAsia" w:cstheme="minorEastAsia"/>
          <w:sz w:val="28"/>
          <w:szCs w:val="28"/>
        </w:rPr>
        <w:sectPr>
          <w:headerReference r:id="rId7"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adjustRightInd w:val="0"/>
        <w:snapToGrid w:val="0"/>
        <w:spacing w:line="360" w:lineRule="auto"/>
        <w:jc w:val="center"/>
        <w:rPr>
          <w:rFonts w:hint="eastAsia" w:asciiTheme="minorEastAsia" w:hAnsiTheme="minorEastAsia" w:eastAsiaTheme="minorEastAsia" w:cstheme="minorEastAsia"/>
          <w:b/>
          <w:snapToGrid w:val="0"/>
          <w:kern w:val="18"/>
          <w:sz w:val="24"/>
        </w:rPr>
      </w:pPr>
      <w:r>
        <w:rPr>
          <w:rFonts w:hint="eastAsia" w:asciiTheme="minorEastAsia" w:hAnsiTheme="minorEastAsia" w:eastAsiaTheme="minorEastAsia" w:cstheme="minorEastAsia"/>
          <w:b/>
          <w:snapToGrid w:val="0"/>
          <w:kern w:val="18"/>
          <w:sz w:val="24"/>
        </w:rPr>
        <w:t>表2.2-</w:t>
      </w:r>
      <w:r>
        <w:rPr>
          <w:rFonts w:hint="eastAsia" w:asciiTheme="minorEastAsia" w:hAnsiTheme="minorEastAsia" w:eastAsiaTheme="minorEastAsia" w:cstheme="minorEastAsia"/>
          <w:b/>
          <w:snapToGrid w:val="0"/>
          <w:kern w:val="18"/>
          <w:sz w:val="24"/>
          <w:lang w:val="en-US" w:eastAsia="zh-CN"/>
        </w:rPr>
        <w:t>5</w:t>
      </w:r>
      <w:r>
        <w:rPr>
          <w:rFonts w:hint="eastAsia" w:asciiTheme="minorEastAsia" w:hAnsiTheme="minorEastAsia" w:eastAsiaTheme="minorEastAsia" w:cstheme="minorEastAsia"/>
          <w:b/>
          <w:snapToGrid w:val="0"/>
          <w:kern w:val="18"/>
          <w:sz w:val="24"/>
        </w:rPr>
        <w:t xml:space="preserve">  本项目副产物产生情况汇总表</w:t>
      </w:r>
    </w:p>
    <w:tbl>
      <w:tblPr>
        <w:tblStyle w:val="20"/>
        <w:tblW w:w="14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0"/>
        <w:gridCol w:w="1348"/>
        <w:gridCol w:w="1613"/>
        <w:gridCol w:w="1213"/>
        <w:gridCol w:w="2294"/>
        <w:gridCol w:w="2122"/>
        <w:gridCol w:w="1559"/>
        <w:gridCol w:w="1700"/>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序号</w:t>
            </w:r>
          </w:p>
        </w:tc>
        <w:tc>
          <w:tcPr>
            <w:tcW w:w="1348"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固废名称</w:t>
            </w:r>
          </w:p>
        </w:tc>
        <w:tc>
          <w:tcPr>
            <w:tcW w:w="1613"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产生工序</w:t>
            </w:r>
          </w:p>
        </w:tc>
        <w:tc>
          <w:tcPr>
            <w:tcW w:w="1213"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形态</w:t>
            </w:r>
          </w:p>
        </w:tc>
        <w:tc>
          <w:tcPr>
            <w:tcW w:w="2294"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主要成分</w:t>
            </w:r>
          </w:p>
        </w:tc>
        <w:tc>
          <w:tcPr>
            <w:tcW w:w="2122"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预测产生量（t/a）</w:t>
            </w:r>
          </w:p>
        </w:tc>
        <w:tc>
          <w:tcPr>
            <w:tcW w:w="4942" w:type="dxa"/>
            <w:gridSpan w:val="3"/>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Merge w:val="continue"/>
            <w:vAlign w:val="center"/>
          </w:tcPr>
          <w:p>
            <w:pPr>
              <w:widowControl/>
              <w:jc w:val="left"/>
              <w:rPr>
                <w:rFonts w:hint="default" w:ascii="Times New Roman" w:hAnsi="Times New Roman" w:cs="Times New Roman" w:eastAsiaTheme="minorEastAsia"/>
                <w:szCs w:val="21"/>
              </w:rPr>
            </w:pPr>
          </w:p>
        </w:tc>
        <w:tc>
          <w:tcPr>
            <w:tcW w:w="1348" w:type="dxa"/>
            <w:vMerge w:val="continue"/>
            <w:vAlign w:val="center"/>
          </w:tcPr>
          <w:p>
            <w:pPr>
              <w:widowControl/>
              <w:jc w:val="left"/>
              <w:rPr>
                <w:rFonts w:hint="default" w:ascii="Times New Roman" w:hAnsi="Times New Roman" w:cs="Times New Roman" w:eastAsiaTheme="minorEastAsia"/>
                <w:szCs w:val="21"/>
              </w:rPr>
            </w:pPr>
          </w:p>
        </w:tc>
        <w:tc>
          <w:tcPr>
            <w:tcW w:w="1613" w:type="dxa"/>
            <w:vMerge w:val="continue"/>
            <w:vAlign w:val="center"/>
          </w:tcPr>
          <w:p>
            <w:pPr>
              <w:widowControl/>
              <w:jc w:val="left"/>
              <w:rPr>
                <w:rFonts w:hint="default" w:ascii="Times New Roman" w:hAnsi="Times New Roman" w:cs="Times New Roman" w:eastAsiaTheme="minorEastAsia"/>
                <w:szCs w:val="21"/>
              </w:rPr>
            </w:pPr>
          </w:p>
        </w:tc>
        <w:tc>
          <w:tcPr>
            <w:tcW w:w="1213" w:type="dxa"/>
            <w:vMerge w:val="continue"/>
            <w:vAlign w:val="center"/>
          </w:tcPr>
          <w:p>
            <w:pPr>
              <w:widowControl/>
              <w:jc w:val="left"/>
              <w:rPr>
                <w:rFonts w:hint="default" w:ascii="Times New Roman" w:hAnsi="Times New Roman" w:cs="Times New Roman" w:eastAsiaTheme="minorEastAsia"/>
                <w:szCs w:val="21"/>
              </w:rPr>
            </w:pPr>
          </w:p>
        </w:tc>
        <w:tc>
          <w:tcPr>
            <w:tcW w:w="2294" w:type="dxa"/>
            <w:vMerge w:val="continue"/>
            <w:vAlign w:val="center"/>
          </w:tcPr>
          <w:p>
            <w:pPr>
              <w:widowControl/>
              <w:jc w:val="left"/>
              <w:rPr>
                <w:rFonts w:hint="default" w:ascii="Times New Roman" w:hAnsi="Times New Roman" w:cs="Times New Roman" w:eastAsiaTheme="minorEastAsia"/>
                <w:szCs w:val="21"/>
              </w:rPr>
            </w:pPr>
          </w:p>
        </w:tc>
        <w:tc>
          <w:tcPr>
            <w:tcW w:w="2122" w:type="dxa"/>
            <w:vMerge w:val="continue"/>
            <w:vAlign w:val="center"/>
          </w:tcPr>
          <w:p>
            <w:pPr>
              <w:widowControl/>
              <w:jc w:val="left"/>
              <w:rPr>
                <w:rFonts w:hint="default" w:ascii="Times New Roman" w:hAnsi="Times New Roman" w:cs="Times New Roman" w:eastAsiaTheme="minorEastAsia"/>
                <w:szCs w:val="21"/>
              </w:rPr>
            </w:pP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固体废物</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副产品</w:t>
            </w:r>
          </w:p>
        </w:tc>
        <w:tc>
          <w:tcPr>
            <w:tcW w:w="168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6" w:hRule="atLeast"/>
          <w:jc w:val="center"/>
        </w:trPr>
        <w:tc>
          <w:tcPr>
            <w:tcW w:w="540" w:type="dxa"/>
            <w:vAlign w:val="center"/>
          </w:tcPr>
          <w:p>
            <w:pPr>
              <w:jc w:val="center"/>
              <w:rPr>
                <w:rFonts w:hint="default" w:ascii="Times New Roman" w:hAnsi="Times New Roman" w:cs="Times New Roman" w:eastAsiaTheme="minorEastAsia"/>
                <w:szCs w:val="21"/>
              </w:rPr>
            </w:pPr>
            <w:bookmarkStart w:id="42" w:name="_Hlk415064878"/>
            <w:r>
              <w:rPr>
                <w:rFonts w:hint="default" w:ascii="Times New Roman" w:hAnsi="Times New Roman" w:cs="Times New Roman" w:eastAsiaTheme="minorEastAsia"/>
                <w:szCs w:val="21"/>
              </w:rPr>
              <w:t>1</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废弃木材</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木加工</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木材</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7875</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《固体废物鉴别导则（试行）》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木屑</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除尘系统</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木材</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1400</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2" w:hRule="atLeast"/>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废胶水桶</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车间</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废胶水桶</w:t>
            </w:r>
          </w:p>
        </w:tc>
        <w:tc>
          <w:tcPr>
            <w:tcW w:w="2122"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7</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2" w:hRule="atLeast"/>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废液压油</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车间</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液态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废液压油</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0.2</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废油漆桶</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车间</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废油漆桶</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0.3</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6</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生物污泥</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废水处理</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污泥</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11</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生活垃圾</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员工生活</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固态/液态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生活垃圾</w:t>
            </w:r>
          </w:p>
        </w:tc>
        <w:tc>
          <w:tcPr>
            <w:tcW w:w="2122"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16.2</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8</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木炭灰渣</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热油炉</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木炭灰渣</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560</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9</w:t>
            </w:r>
          </w:p>
        </w:tc>
        <w:tc>
          <w:tcPr>
            <w:tcW w:w="1348"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废活性炭</w:t>
            </w:r>
          </w:p>
        </w:tc>
        <w:tc>
          <w:tcPr>
            <w:tcW w:w="16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废水处理</w:t>
            </w:r>
          </w:p>
        </w:tc>
        <w:tc>
          <w:tcPr>
            <w:tcW w:w="1213"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229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废活性炭</w:t>
            </w:r>
          </w:p>
        </w:tc>
        <w:tc>
          <w:tcPr>
            <w:tcW w:w="2122"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w:t>
            </w:r>
            <w:r>
              <w:rPr>
                <w:rFonts w:hint="default" w:ascii="Times New Roman" w:hAnsi="Times New Roman" w:cs="Times New Roman" w:eastAsiaTheme="minorEastAsia"/>
                <w:szCs w:val="21"/>
                <w:lang w:val="en-US" w:eastAsia="zh-CN"/>
              </w:rPr>
              <w:t>1</w:t>
            </w:r>
          </w:p>
        </w:tc>
        <w:tc>
          <w:tcPr>
            <w:tcW w:w="155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70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1683" w:type="dxa"/>
            <w:vMerge w:val="continue"/>
            <w:vAlign w:val="center"/>
          </w:tcPr>
          <w:p>
            <w:pPr>
              <w:jc w:val="center"/>
              <w:rPr>
                <w:rFonts w:hint="default" w:ascii="Times New Roman" w:hAnsi="Times New Roman" w:cs="Times New Roman" w:eastAsiaTheme="minorEastAsia"/>
                <w:szCs w:val="21"/>
              </w:rPr>
            </w:pPr>
          </w:p>
        </w:tc>
      </w:tr>
      <w:bookmarkEnd w:id="42"/>
    </w:tbl>
    <w:p>
      <w:pPr>
        <w:spacing w:before="120" w:beforeLines="50" w:line="360" w:lineRule="auto"/>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表2.2-</w:t>
      </w:r>
      <w:r>
        <w:rPr>
          <w:rFonts w:hint="eastAsia" w:asciiTheme="minorEastAsia" w:hAnsiTheme="minorEastAsia" w:eastAsiaTheme="minorEastAsia" w:cstheme="minorEastAsia"/>
          <w:b/>
          <w:sz w:val="24"/>
          <w:lang w:val="en-US" w:eastAsia="zh-CN"/>
        </w:rPr>
        <w:t>6</w:t>
      </w:r>
      <w:r>
        <w:rPr>
          <w:rFonts w:hint="eastAsia" w:asciiTheme="minorEastAsia" w:hAnsiTheme="minorEastAsia" w:eastAsiaTheme="minorEastAsia" w:cstheme="minorEastAsia"/>
          <w:b/>
          <w:sz w:val="24"/>
        </w:rPr>
        <w:t xml:space="preserve">  本项目固体废物分析结果汇总表</w:t>
      </w:r>
    </w:p>
    <w:tbl>
      <w:tblPr>
        <w:tblStyle w:val="20"/>
        <w:tblW w:w="13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1120"/>
        <w:gridCol w:w="1369"/>
        <w:gridCol w:w="1550"/>
        <w:gridCol w:w="966"/>
        <w:gridCol w:w="1440"/>
        <w:gridCol w:w="1110"/>
        <w:gridCol w:w="765"/>
        <w:gridCol w:w="885"/>
        <w:gridCol w:w="1155"/>
        <w:gridCol w:w="1170"/>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序号</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固废名称</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属性</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产生工序</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形态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主要成分</w:t>
            </w:r>
          </w:p>
        </w:tc>
        <w:tc>
          <w:tcPr>
            <w:tcW w:w="111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危险特性</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鉴别方法</w:t>
            </w: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特性</w:t>
            </w:r>
          </w:p>
        </w:tc>
        <w:tc>
          <w:tcPr>
            <w:tcW w:w="8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废物</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类别</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废物代码</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估算产生量(t/a)</w:t>
            </w:r>
          </w:p>
        </w:tc>
        <w:tc>
          <w:tcPr>
            <w:tcW w:w="1711" w:type="dxa"/>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废弃木材</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一般工业固废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木加工</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木材</w:t>
            </w:r>
          </w:p>
        </w:tc>
        <w:tc>
          <w:tcPr>
            <w:tcW w:w="1110"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《国家危险废物名录》</w:t>
            </w: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8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废木材</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80</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7875</w:t>
            </w:r>
          </w:p>
        </w:tc>
        <w:tc>
          <w:tcPr>
            <w:tcW w:w="1711" w:type="dxa"/>
            <w:vMerge w:val="restart"/>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木屑</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一般工业固废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除尘系统</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木材</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8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木屑粉尘</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84</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1400</w:t>
            </w:r>
          </w:p>
        </w:tc>
        <w:tc>
          <w:tcPr>
            <w:tcW w:w="1711"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木炭灰渣</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一般工业固废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热油炉</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木炭灰渣</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8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木炭灰渣</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99</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560</w:t>
            </w:r>
          </w:p>
        </w:tc>
        <w:tc>
          <w:tcPr>
            <w:tcW w:w="1711"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废胶水桶</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车间</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废胶水桶</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w:t>
            </w:r>
          </w:p>
        </w:tc>
        <w:tc>
          <w:tcPr>
            <w:tcW w:w="885"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HW13</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900-041-13</w:t>
            </w:r>
          </w:p>
        </w:tc>
        <w:tc>
          <w:tcPr>
            <w:tcW w:w="1170"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7</w:t>
            </w:r>
          </w:p>
        </w:tc>
        <w:tc>
          <w:tcPr>
            <w:tcW w:w="1711" w:type="dxa"/>
            <w:vMerge w:val="restart"/>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废液压油</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车间</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废液压油</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w:t>
            </w:r>
          </w:p>
        </w:tc>
        <w:tc>
          <w:tcPr>
            <w:tcW w:w="885"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HW08</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900-218-08</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0.2</w:t>
            </w:r>
          </w:p>
        </w:tc>
        <w:tc>
          <w:tcPr>
            <w:tcW w:w="1711"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4"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6</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废油漆桶</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车间</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废油漆桶</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w:t>
            </w:r>
          </w:p>
        </w:tc>
        <w:tc>
          <w:tcPr>
            <w:tcW w:w="885"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eastAsia="zh-CN"/>
              </w:rPr>
              <w:t>HW49</w:t>
            </w:r>
          </w:p>
        </w:tc>
        <w:tc>
          <w:tcPr>
            <w:tcW w:w="1155"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900-041-49</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0.3</w:t>
            </w:r>
          </w:p>
        </w:tc>
        <w:tc>
          <w:tcPr>
            <w:tcW w:w="1711"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4" w:hRule="atLeast"/>
          <w:jc w:val="center"/>
        </w:trPr>
        <w:tc>
          <w:tcPr>
            <w:tcW w:w="727"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废活性炭</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废水处理</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废活性炭</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危险</w:t>
            </w:r>
          </w:p>
        </w:tc>
        <w:tc>
          <w:tcPr>
            <w:tcW w:w="885"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HW49</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900-041-49</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w:t>
            </w:r>
            <w:r>
              <w:rPr>
                <w:rFonts w:hint="default" w:ascii="Times New Roman" w:hAnsi="Times New Roman" w:cs="Times New Roman" w:eastAsiaTheme="minorEastAsia"/>
                <w:szCs w:val="21"/>
                <w:lang w:val="en-US" w:eastAsia="zh-CN"/>
              </w:rPr>
              <w:t>1</w:t>
            </w:r>
          </w:p>
        </w:tc>
        <w:tc>
          <w:tcPr>
            <w:tcW w:w="1711"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jc w:val="center"/>
        </w:trPr>
        <w:tc>
          <w:tcPr>
            <w:tcW w:w="727" w:type="dxa"/>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8</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生物污泥</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一般工业固废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废水处理</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污泥</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8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有机废水</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污泥</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57</w:t>
            </w:r>
          </w:p>
        </w:tc>
        <w:tc>
          <w:tcPr>
            <w:tcW w:w="117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11</w:t>
            </w:r>
          </w:p>
        </w:tc>
        <w:tc>
          <w:tcPr>
            <w:tcW w:w="1711" w:type="dxa"/>
            <w:vMerge w:val="restart"/>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jc w:val="center"/>
        </w:trPr>
        <w:tc>
          <w:tcPr>
            <w:tcW w:w="727" w:type="dxa"/>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9</w:t>
            </w:r>
          </w:p>
        </w:tc>
        <w:tc>
          <w:tcPr>
            <w:tcW w:w="112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生活垃圾</w:t>
            </w:r>
          </w:p>
        </w:tc>
        <w:tc>
          <w:tcPr>
            <w:tcW w:w="136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一般固废</w:t>
            </w:r>
          </w:p>
        </w:tc>
        <w:tc>
          <w:tcPr>
            <w:tcW w:w="155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员工生活</w:t>
            </w:r>
          </w:p>
        </w:tc>
        <w:tc>
          <w:tcPr>
            <w:tcW w:w="96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固态/液态</w:t>
            </w:r>
          </w:p>
        </w:tc>
        <w:tc>
          <w:tcPr>
            <w:tcW w:w="1440"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生活垃圾</w:t>
            </w:r>
          </w:p>
        </w:tc>
        <w:tc>
          <w:tcPr>
            <w:tcW w:w="1110" w:type="dxa"/>
            <w:vMerge w:val="continue"/>
            <w:vAlign w:val="center"/>
          </w:tcPr>
          <w:p>
            <w:pPr>
              <w:jc w:val="center"/>
              <w:rPr>
                <w:rFonts w:hint="default" w:ascii="Times New Roman" w:hAnsi="Times New Roman" w:cs="Times New Roman" w:eastAsiaTheme="minorEastAsia"/>
                <w:szCs w:val="21"/>
              </w:rPr>
            </w:pPr>
          </w:p>
        </w:tc>
        <w:tc>
          <w:tcPr>
            <w:tcW w:w="76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8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生活垃圾</w:t>
            </w:r>
          </w:p>
        </w:tc>
        <w:tc>
          <w:tcPr>
            <w:tcW w:w="115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99</w:t>
            </w:r>
          </w:p>
        </w:tc>
        <w:tc>
          <w:tcPr>
            <w:tcW w:w="1170" w:type="dxa"/>
            <w:vAlign w:val="center"/>
          </w:tcPr>
          <w:p>
            <w:pPr>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val="en-US" w:eastAsia="zh-CN"/>
              </w:rPr>
              <w:t>16.2</w:t>
            </w:r>
          </w:p>
        </w:tc>
        <w:tc>
          <w:tcPr>
            <w:tcW w:w="1711" w:type="dxa"/>
            <w:vMerge w:val="continue"/>
            <w:vAlign w:val="center"/>
          </w:tcPr>
          <w:p>
            <w:pPr>
              <w:jc w:val="center"/>
              <w:rPr>
                <w:rFonts w:hint="eastAsia" w:asciiTheme="minorEastAsia" w:hAnsiTheme="minorEastAsia" w:eastAsiaTheme="minorEastAsia" w:cstheme="minorEastAsia"/>
                <w:szCs w:val="21"/>
              </w:rPr>
            </w:pPr>
          </w:p>
        </w:tc>
      </w:tr>
    </w:tbl>
    <w:p>
      <w:pPr>
        <w:spacing w:line="360" w:lineRule="auto"/>
        <w:jc w:val="left"/>
        <w:rPr>
          <w:rFonts w:hint="eastAsia" w:asciiTheme="minorEastAsia" w:hAnsiTheme="minorEastAsia" w:eastAsiaTheme="minorEastAsia" w:cstheme="minorEastAsia"/>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p>
    <w:p>
      <w:pPr>
        <w:pStyle w:val="30"/>
        <w:spacing w:before="120" w:after="120"/>
        <w:rPr>
          <w:rFonts w:hint="eastAsia" w:asciiTheme="minorEastAsia" w:hAnsiTheme="minorEastAsia" w:eastAsiaTheme="minorEastAsia" w:cstheme="minorEastAsia"/>
        </w:rPr>
      </w:pPr>
      <w:bookmarkStart w:id="43" w:name="_Toc17812"/>
      <w:r>
        <w:rPr>
          <w:rFonts w:hint="eastAsia" w:asciiTheme="minorEastAsia" w:hAnsiTheme="minorEastAsia" w:eastAsiaTheme="minorEastAsia" w:cstheme="minorEastAsia"/>
        </w:rPr>
        <w:t>2.3项目污染源监测及达标分析</w:t>
      </w:r>
      <w:bookmarkEnd w:id="43"/>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2.3.1废气污染源达标分析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lang w:val="en-US" w:eastAsia="zh-CN"/>
        </w:rPr>
        <w:t>目前该公司</w:t>
      </w:r>
      <w:r>
        <w:rPr>
          <w:rFonts w:hint="eastAsia" w:asciiTheme="minorEastAsia" w:hAnsiTheme="minorEastAsia" w:eastAsiaTheme="minorEastAsia" w:cstheme="minorEastAsia"/>
          <w:sz w:val="28"/>
          <w:szCs w:val="28"/>
        </w:rPr>
        <w:t>粉尘经集气吸尘罩收集后通过高效旋风分离器及脉冲式布袋除尘器集中处理后通过2根15m高的排气筒高空排放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去除率可达99.8%以上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甲醛废气通过车间收尘除尘系统大流量通风机引出后通过</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根15m高的排气筒高空排放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封蜡废气</w:t>
      </w:r>
      <w:r>
        <w:rPr>
          <w:rFonts w:hint="eastAsia" w:asciiTheme="minorEastAsia" w:hAnsiTheme="minorEastAsia" w:eastAsiaTheme="minorEastAsia" w:cstheme="minorEastAsia"/>
          <w:sz w:val="28"/>
          <w:szCs w:val="28"/>
        </w:rPr>
        <w:t>通过车间收尘除尘系统大流量通风机引出后</w:t>
      </w:r>
      <w:r>
        <w:rPr>
          <w:rFonts w:hint="eastAsia" w:asciiTheme="minorEastAsia" w:hAnsiTheme="minorEastAsia" w:eastAsiaTheme="minorEastAsia" w:cstheme="minorEastAsia"/>
          <w:sz w:val="28"/>
          <w:szCs w:val="28"/>
          <w:lang w:val="en-US" w:eastAsia="zh-CN"/>
        </w:rPr>
        <w:t>经过滤网</w:t>
      </w:r>
      <w:r>
        <w:rPr>
          <w:rFonts w:hint="eastAsia" w:asciiTheme="minorEastAsia" w:hAnsiTheme="minorEastAsia" w:eastAsiaTheme="minorEastAsia" w:cstheme="minorEastAsia"/>
          <w:sz w:val="28"/>
          <w:szCs w:val="28"/>
        </w:rPr>
        <w:t>通过</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根15m高的排气筒高空排放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导热油炉</w:t>
      </w:r>
      <w:r>
        <w:rPr>
          <w:rFonts w:hint="eastAsia" w:asciiTheme="minorEastAsia" w:hAnsiTheme="minorEastAsia" w:eastAsiaTheme="minorEastAsia" w:cstheme="minorEastAsia"/>
          <w:sz w:val="28"/>
          <w:szCs w:val="28"/>
        </w:rPr>
        <w:t>废气经配套的旋风多管除尘器处理后通过1根</w:t>
      </w:r>
      <w:r>
        <w:rPr>
          <w:rFonts w:hint="eastAsia" w:asciiTheme="minorEastAsia" w:hAnsiTheme="minorEastAsia" w:eastAsiaTheme="minorEastAsia" w:cstheme="minorEastAsia"/>
          <w:sz w:val="28"/>
          <w:szCs w:val="28"/>
          <w:lang w:val="en-US" w:eastAsia="zh-CN"/>
        </w:rPr>
        <w:t>20</w:t>
      </w:r>
      <w:r>
        <w:rPr>
          <w:rFonts w:hint="eastAsia" w:asciiTheme="minorEastAsia" w:hAnsiTheme="minorEastAsia" w:eastAsiaTheme="minorEastAsia" w:cstheme="minorEastAsia"/>
          <w:sz w:val="28"/>
          <w:szCs w:val="28"/>
        </w:rPr>
        <w:t>m高的排气筒高空排放，其除尘效率可达90%以上。</w:t>
      </w:r>
      <w:r>
        <w:rPr>
          <w:rFonts w:hint="eastAsia" w:asciiTheme="minorEastAsia" w:hAnsiTheme="minorEastAsia" w:eastAsiaTheme="minorEastAsia" w:cstheme="minorEastAsia"/>
          <w:color w:val="auto"/>
          <w:sz w:val="28"/>
          <w:szCs w:val="28"/>
        </w:rPr>
        <w:t>根据</w:t>
      </w:r>
      <w:r>
        <w:rPr>
          <w:rFonts w:hint="eastAsia" w:asciiTheme="minorEastAsia" w:hAnsiTheme="minorEastAsia" w:eastAsiaTheme="minorEastAsia" w:cstheme="minorEastAsia"/>
          <w:sz w:val="28"/>
          <w:szCs w:val="28"/>
        </w:rPr>
        <w:t>2016年</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color w:val="auto"/>
          <w:sz w:val="28"/>
          <w:szCs w:val="28"/>
        </w:rPr>
        <w:t>无锡中证检测技术有限公司</w:t>
      </w:r>
      <w:r>
        <w:rPr>
          <w:rFonts w:hint="eastAsia" w:asciiTheme="minorEastAsia" w:hAnsiTheme="minorEastAsia" w:eastAsiaTheme="minorEastAsia" w:cstheme="minorEastAsia"/>
          <w:color w:val="auto"/>
          <w:sz w:val="28"/>
          <w:szCs w:val="28"/>
          <w:highlight w:val="none"/>
        </w:rPr>
        <w:t>对项</w:t>
      </w:r>
      <w:r>
        <w:rPr>
          <w:rFonts w:hint="eastAsia" w:asciiTheme="minorEastAsia" w:hAnsiTheme="minorEastAsia" w:eastAsiaTheme="minorEastAsia" w:cstheme="minorEastAsia"/>
          <w:color w:val="auto"/>
          <w:sz w:val="28"/>
          <w:szCs w:val="28"/>
        </w:rPr>
        <w:t>目</w:t>
      </w:r>
      <w:r>
        <w:rPr>
          <w:rFonts w:hint="eastAsia" w:asciiTheme="minorEastAsia" w:hAnsiTheme="minorEastAsia" w:eastAsiaTheme="minorEastAsia" w:cstheme="minorEastAsia"/>
          <w:color w:val="auto"/>
          <w:sz w:val="28"/>
          <w:szCs w:val="28"/>
          <w:lang w:val="en-US" w:eastAsia="zh-CN"/>
        </w:rPr>
        <w:t>废气</w:t>
      </w:r>
      <w:r>
        <w:rPr>
          <w:rFonts w:hint="eastAsia" w:asciiTheme="minorEastAsia" w:hAnsiTheme="minorEastAsia" w:eastAsiaTheme="minorEastAsia" w:cstheme="minorEastAsia"/>
          <w:color w:val="auto"/>
          <w:sz w:val="28"/>
          <w:szCs w:val="28"/>
        </w:rPr>
        <w:t>监控点浓度检测结果</w:t>
      </w:r>
      <w:r>
        <w:rPr>
          <w:rFonts w:hint="eastAsia" w:asciiTheme="minorEastAsia" w:hAnsiTheme="minorEastAsia" w:eastAsiaTheme="minorEastAsia" w:cstheme="minorEastAsia"/>
          <w:color w:val="auto"/>
          <w:sz w:val="28"/>
          <w:szCs w:val="28"/>
          <w:lang w:val="en-US" w:eastAsia="zh-CN"/>
        </w:rPr>
        <w:t>以及预测模式对废气浓度的测算</w:t>
      </w:r>
      <w:r>
        <w:rPr>
          <w:rFonts w:hint="eastAsia" w:asciiTheme="minorEastAsia" w:hAnsiTheme="minorEastAsia" w:eastAsiaTheme="minorEastAsia" w:cstheme="minorEastAsia"/>
          <w:color w:val="auto"/>
          <w:sz w:val="28"/>
          <w:szCs w:val="28"/>
        </w:rPr>
        <w:t>，公司</w:t>
      </w:r>
      <w:r>
        <w:rPr>
          <w:rFonts w:hint="eastAsia" w:asciiTheme="minorEastAsia" w:hAnsiTheme="minorEastAsia" w:eastAsiaTheme="minorEastAsia" w:cstheme="minorEastAsia"/>
          <w:color w:val="auto"/>
          <w:sz w:val="28"/>
          <w:szCs w:val="28"/>
          <w:lang w:val="en-US" w:eastAsia="zh-CN"/>
        </w:rPr>
        <w:t>废气</w:t>
      </w:r>
      <w:r>
        <w:rPr>
          <w:rFonts w:hint="eastAsia" w:asciiTheme="minorEastAsia" w:hAnsiTheme="minorEastAsia" w:eastAsiaTheme="minorEastAsia" w:cstheme="minorEastAsia"/>
          <w:color w:val="auto"/>
          <w:sz w:val="28"/>
          <w:szCs w:val="28"/>
        </w:rPr>
        <w:t>浓度符合标准要求，监测结果见表2.3-</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2.3-</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p>
    <w:p>
      <w:pPr>
        <w:adjustRightInd w:val="0"/>
        <w:snapToGrid w:val="0"/>
        <w:spacing w:line="360" w:lineRule="auto"/>
        <w:jc w:val="center"/>
        <w:rPr>
          <w:rFonts w:hint="eastAsia" w:asciiTheme="minorEastAsia" w:hAnsiTheme="minorEastAsia" w:eastAsiaTheme="minorEastAsia" w:cstheme="minorEastAsia"/>
          <w:b/>
          <w:snapToGrid w:val="0"/>
          <w:color w:val="000000" w:themeColor="text1"/>
          <w:kern w:val="18"/>
          <w:sz w:val="28"/>
          <w:szCs w:val="28"/>
        </w:rPr>
      </w:pPr>
      <w:r>
        <w:rPr>
          <w:rFonts w:hint="eastAsia" w:asciiTheme="minorEastAsia" w:hAnsiTheme="minorEastAsia" w:eastAsiaTheme="minorEastAsia" w:cstheme="minorEastAsia"/>
          <w:b/>
          <w:snapToGrid w:val="0"/>
          <w:color w:val="000000" w:themeColor="text1"/>
          <w:kern w:val="18"/>
          <w:sz w:val="28"/>
          <w:szCs w:val="28"/>
        </w:rPr>
        <w:t>表2.3-</w:t>
      </w:r>
      <w:r>
        <w:rPr>
          <w:rFonts w:hint="eastAsia" w:asciiTheme="minorEastAsia" w:hAnsiTheme="minorEastAsia" w:eastAsiaTheme="minorEastAsia" w:cstheme="minorEastAsia"/>
          <w:b/>
          <w:snapToGrid w:val="0"/>
          <w:color w:val="000000" w:themeColor="text1"/>
          <w:kern w:val="18"/>
          <w:sz w:val="28"/>
          <w:szCs w:val="28"/>
          <w:lang w:val="en-US" w:eastAsia="zh-CN"/>
        </w:rPr>
        <w:t>1</w:t>
      </w:r>
      <w:r>
        <w:rPr>
          <w:rFonts w:hint="eastAsia" w:asciiTheme="minorEastAsia" w:hAnsiTheme="minorEastAsia" w:eastAsiaTheme="minorEastAsia" w:cstheme="minorEastAsia"/>
          <w:b/>
          <w:snapToGrid w:val="0"/>
          <w:color w:val="000000" w:themeColor="text1"/>
          <w:kern w:val="18"/>
          <w:sz w:val="28"/>
          <w:szCs w:val="28"/>
        </w:rPr>
        <w:t xml:space="preserve"> 公司</w:t>
      </w:r>
      <w:r>
        <w:rPr>
          <w:rFonts w:hint="eastAsia" w:asciiTheme="minorEastAsia" w:hAnsiTheme="minorEastAsia" w:eastAsiaTheme="minorEastAsia" w:cstheme="minorEastAsia"/>
          <w:b/>
          <w:snapToGrid w:val="0"/>
          <w:color w:val="000000" w:themeColor="text1"/>
          <w:kern w:val="18"/>
          <w:sz w:val="28"/>
          <w:szCs w:val="28"/>
          <w:lang w:val="en-US" w:eastAsia="zh-CN"/>
        </w:rPr>
        <w:t>锅炉</w:t>
      </w:r>
      <w:r>
        <w:rPr>
          <w:rFonts w:hint="eastAsia" w:asciiTheme="minorEastAsia" w:hAnsiTheme="minorEastAsia" w:eastAsiaTheme="minorEastAsia" w:cstheme="minorEastAsia"/>
          <w:b/>
          <w:snapToGrid w:val="0"/>
          <w:color w:val="000000" w:themeColor="text1"/>
          <w:kern w:val="18"/>
          <w:sz w:val="28"/>
          <w:szCs w:val="28"/>
        </w:rPr>
        <w:t>废气监控点监测结果</w:t>
      </w:r>
    </w:p>
    <w:tbl>
      <w:tblPr>
        <w:tblStyle w:val="20"/>
        <w:tblW w:w="7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9"/>
        <w:gridCol w:w="1414"/>
        <w:gridCol w:w="2269"/>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569" w:type="dxa"/>
            <w:vMerge w:val="restart"/>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kern w:val="0"/>
                <w:sz w:val="24"/>
              </w:rPr>
              <w:t>采样时间</w:t>
            </w:r>
          </w:p>
        </w:tc>
        <w:tc>
          <w:tcPr>
            <w:tcW w:w="1414" w:type="dxa"/>
            <w:vMerge w:val="restart"/>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kern w:val="0"/>
                <w:sz w:val="24"/>
              </w:rPr>
              <w:t>检测项目</w:t>
            </w:r>
          </w:p>
        </w:tc>
        <w:tc>
          <w:tcPr>
            <w:tcW w:w="4319" w:type="dxa"/>
            <w:gridSpan w:val="2"/>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kern w:val="0"/>
                <w:sz w:val="24"/>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569" w:type="dxa"/>
            <w:vMerge w:val="continue"/>
            <w:tcMar>
              <w:top w:w="15" w:type="dxa"/>
              <w:left w:w="15" w:type="dxa"/>
              <w:right w:w="15" w:type="dxa"/>
            </w:tcMar>
            <w:vAlign w:val="center"/>
          </w:tcPr>
          <w:p>
            <w:pPr>
              <w:snapToGrid w:val="0"/>
              <w:jc w:val="center"/>
              <w:rPr>
                <w:rFonts w:hint="eastAsia" w:asciiTheme="minorEastAsia" w:hAnsiTheme="minorEastAsia" w:eastAsiaTheme="minorEastAsia" w:cstheme="minorEastAsia"/>
                <w:color w:val="000000" w:themeColor="text1"/>
                <w:sz w:val="24"/>
              </w:rPr>
            </w:pPr>
          </w:p>
        </w:tc>
        <w:tc>
          <w:tcPr>
            <w:tcW w:w="1414" w:type="dxa"/>
            <w:vMerge w:val="continue"/>
            <w:tcMar>
              <w:top w:w="15" w:type="dxa"/>
              <w:left w:w="15" w:type="dxa"/>
              <w:right w:w="15" w:type="dxa"/>
            </w:tcMar>
            <w:vAlign w:val="center"/>
          </w:tcPr>
          <w:p>
            <w:pPr>
              <w:snapToGrid w:val="0"/>
              <w:jc w:val="center"/>
              <w:rPr>
                <w:rFonts w:hint="eastAsia" w:asciiTheme="minorEastAsia" w:hAnsiTheme="minorEastAsia" w:eastAsiaTheme="minorEastAsia" w:cstheme="minorEastAsia"/>
                <w:color w:val="000000" w:themeColor="text1"/>
                <w:sz w:val="24"/>
              </w:rPr>
            </w:pPr>
          </w:p>
        </w:tc>
        <w:tc>
          <w:tcPr>
            <w:tcW w:w="2269"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kern w:val="0"/>
                <w:sz w:val="24"/>
                <w:lang w:val="en-US" w:eastAsia="zh-CN"/>
              </w:rPr>
              <w:t>排放浓度</w:t>
            </w:r>
            <w:r>
              <w:rPr>
                <w:rFonts w:hint="eastAsia" w:asciiTheme="minorEastAsia" w:hAnsiTheme="minorEastAsia" w:eastAsiaTheme="minorEastAsia" w:cstheme="minorEastAsia"/>
                <w:color w:val="000000" w:themeColor="text1"/>
                <w:kern w:val="0"/>
                <w:sz w:val="24"/>
              </w:rPr>
              <w:t>（mg/m</w:t>
            </w:r>
            <w:r>
              <w:rPr>
                <w:rFonts w:hint="eastAsia" w:asciiTheme="minorEastAsia" w:hAnsiTheme="minorEastAsia" w:eastAsiaTheme="minorEastAsia" w:cstheme="minorEastAsia"/>
                <w:color w:val="000000" w:themeColor="text1"/>
                <w:kern w:val="0"/>
                <w:sz w:val="24"/>
                <w:vertAlign w:val="superscript"/>
              </w:rPr>
              <w:t>3</w:t>
            </w:r>
            <w:r>
              <w:rPr>
                <w:rFonts w:hint="eastAsia" w:asciiTheme="minorEastAsia" w:hAnsiTheme="minorEastAsia" w:eastAsiaTheme="minorEastAsia" w:cstheme="minorEastAsia"/>
                <w:color w:val="000000" w:themeColor="text1"/>
                <w:kern w:val="0"/>
                <w:sz w:val="24"/>
              </w:rPr>
              <w:t>）</w:t>
            </w:r>
          </w:p>
        </w:tc>
        <w:tc>
          <w:tcPr>
            <w:tcW w:w="2050"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569" w:type="dxa"/>
            <w:vMerge w:val="restart"/>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FF0000"/>
                <w:sz w:val="24"/>
                <w:lang w:val="en-US" w:eastAsia="zh-CN"/>
              </w:rPr>
            </w:pPr>
            <w:r>
              <w:rPr>
                <w:rFonts w:hint="eastAsia" w:asciiTheme="minorEastAsia" w:hAnsiTheme="minorEastAsia" w:eastAsiaTheme="minorEastAsia" w:cstheme="minorEastAsia"/>
                <w:color w:val="000000" w:themeColor="text1"/>
                <w:sz w:val="24"/>
                <w:lang w:val="en-US" w:eastAsia="zh-CN"/>
              </w:rPr>
              <w:t>2016.11.30</w:t>
            </w:r>
          </w:p>
        </w:tc>
        <w:tc>
          <w:tcPr>
            <w:tcW w:w="1414"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颗粒物</w:t>
            </w:r>
          </w:p>
        </w:tc>
        <w:tc>
          <w:tcPr>
            <w:tcW w:w="2269"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5.18</w:t>
            </w:r>
          </w:p>
        </w:tc>
        <w:tc>
          <w:tcPr>
            <w:tcW w:w="2050"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0.0650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569" w:type="dxa"/>
            <w:vMerge w:val="continue"/>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FF0000"/>
                <w:sz w:val="24"/>
              </w:rPr>
            </w:pPr>
          </w:p>
        </w:tc>
        <w:tc>
          <w:tcPr>
            <w:tcW w:w="1414"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SO</w:t>
            </w:r>
            <w:r>
              <w:rPr>
                <w:rFonts w:hint="eastAsia" w:asciiTheme="minorEastAsia" w:hAnsiTheme="minorEastAsia" w:eastAsiaTheme="minorEastAsia" w:cstheme="minorEastAsia"/>
                <w:color w:val="000000" w:themeColor="text1"/>
                <w:sz w:val="24"/>
                <w:vertAlign w:val="subscript"/>
                <w:lang w:val="en-US" w:eastAsia="zh-CN"/>
              </w:rPr>
              <w:t>2</w:t>
            </w:r>
          </w:p>
        </w:tc>
        <w:tc>
          <w:tcPr>
            <w:tcW w:w="2269"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ND</w:t>
            </w:r>
          </w:p>
        </w:tc>
        <w:tc>
          <w:tcPr>
            <w:tcW w:w="2050"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w:t>
            </w:r>
          </w:p>
        </w:tc>
      </w:tr>
    </w:tbl>
    <w:p>
      <w:pPr>
        <w:spacing w:line="360" w:lineRule="auto"/>
        <w:ind w:firstLine="56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注：1、SO</w:t>
      </w:r>
      <w:r>
        <w:rPr>
          <w:rFonts w:hint="eastAsia" w:asciiTheme="minorEastAsia" w:hAnsiTheme="minorEastAsia" w:eastAsiaTheme="minorEastAsia" w:cstheme="minorEastAsia"/>
          <w:sz w:val="21"/>
          <w:szCs w:val="21"/>
          <w:vertAlign w:val="subscript"/>
          <w:lang w:val="en-US" w:eastAsia="zh-CN"/>
        </w:rPr>
        <w:t>2</w:t>
      </w:r>
      <w:r>
        <w:rPr>
          <w:rFonts w:hint="eastAsia" w:asciiTheme="minorEastAsia" w:hAnsiTheme="minorEastAsia" w:eastAsiaTheme="minorEastAsia" w:cstheme="minorEastAsia"/>
          <w:sz w:val="21"/>
          <w:szCs w:val="21"/>
          <w:lang w:val="en-US" w:eastAsia="zh-CN"/>
        </w:rPr>
        <w:t>的检出限为15</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ND</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表示未检出</w:t>
      </w:r>
    </w:p>
    <w:p>
      <w:pPr>
        <w:spacing w:line="360" w:lineRule="auto"/>
        <w:ind w:firstLine="56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2、“/”表示检测项目的排放浓度小于检出限，故排放速率无需计算</w:t>
      </w:r>
    </w:p>
    <w:p>
      <w:pPr>
        <w:adjustRightInd w:val="0"/>
        <w:snapToGrid w:val="0"/>
        <w:spacing w:line="360" w:lineRule="auto"/>
        <w:jc w:val="center"/>
        <w:rPr>
          <w:rFonts w:hint="eastAsia" w:asciiTheme="minorEastAsia" w:hAnsiTheme="minorEastAsia" w:eastAsiaTheme="minorEastAsia" w:cstheme="minorEastAsia"/>
          <w:b/>
          <w:snapToGrid w:val="0"/>
          <w:color w:val="000000" w:themeColor="text1"/>
          <w:kern w:val="18"/>
          <w:sz w:val="28"/>
          <w:szCs w:val="28"/>
          <w:highlight w:val="none"/>
        </w:rPr>
      </w:pPr>
      <w:r>
        <w:rPr>
          <w:rFonts w:hint="eastAsia" w:asciiTheme="minorEastAsia" w:hAnsiTheme="minorEastAsia" w:eastAsiaTheme="minorEastAsia" w:cstheme="minorEastAsia"/>
          <w:b/>
          <w:snapToGrid w:val="0"/>
          <w:color w:val="000000" w:themeColor="text1"/>
          <w:kern w:val="18"/>
          <w:sz w:val="28"/>
          <w:szCs w:val="28"/>
          <w:highlight w:val="none"/>
        </w:rPr>
        <w:t>表2.3-</w:t>
      </w:r>
      <w:r>
        <w:rPr>
          <w:rFonts w:hint="eastAsia" w:asciiTheme="minorEastAsia" w:hAnsiTheme="minorEastAsia" w:eastAsiaTheme="minorEastAsia" w:cstheme="minorEastAsia"/>
          <w:b/>
          <w:snapToGrid w:val="0"/>
          <w:color w:val="000000" w:themeColor="text1"/>
          <w:kern w:val="18"/>
          <w:sz w:val="28"/>
          <w:szCs w:val="28"/>
          <w:highlight w:val="none"/>
          <w:lang w:val="en-US" w:eastAsia="zh-CN"/>
        </w:rPr>
        <w:t>2</w:t>
      </w:r>
      <w:r>
        <w:rPr>
          <w:rFonts w:hint="eastAsia" w:asciiTheme="minorEastAsia" w:hAnsiTheme="minorEastAsia" w:eastAsiaTheme="minorEastAsia" w:cstheme="minorEastAsia"/>
          <w:b/>
          <w:snapToGrid w:val="0"/>
          <w:color w:val="000000" w:themeColor="text1"/>
          <w:kern w:val="18"/>
          <w:sz w:val="28"/>
          <w:szCs w:val="28"/>
          <w:highlight w:val="none"/>
        </w:rPr>
        <w:t>公司</w:t>
      </w:r>
      <w:r>
        <w:rPr>
          <w:rFonts w:hint="eastAsia" w:asciiTheme="minorEastAsia" w:hAnsiTheme="minorEastAsia" w:eastAsiaTheme="minorEastAsia" w:cstheme="minorEastAsia"/>
          <w:b/>
          <w:snapToGrid w:val="0"/>
          <w:color w:val="000000" w:themeColor="text1"/>
          <w:kern w:val="18"/>
          <w:sz w:val="28"/>
          <w:szCs w:val="28"/>
          <w:highlight w:val="none"/>
          <w:lang w:val="en-US" w:eastAsia="zh-CN"/>
        </w:rPr>
        <w:t>有组织废气</w:t>
      </w:r>
      <w:r>
        <w:rPr>
          <w:rFonts w:hint="eastAsia" w:asciiTheme="minorEastAsia" w:hAnsiTheme="minorEastAsia" w:eastAsiaTheme="minorEastAsia" w:cstheme="minorEastAsia"/>
          <w:b/>
          <w:snapToGrid w:val="0"/>
          <w:color w:val="000000" w:themeColor="text1"/>
          <w:kern w:val="18"/>
          <w:sz w:val="28"/>
          <w:szCs w:val="28"/>
          <w:highlight w:val="none"/>
        </w:rPr>
        <w:t>监测结果</w:t>
      </w:r>
    </w:p>
    <w:tbl>
      <w:tblPr>
        <w:tblStyle w:val="20"/>
        <w:tblW w:w="7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9"/>
        <w:gridCol w:w="1414"/>
        <w:gridCol w:w="2269"/>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569" w:type="dxa"/>
            <w:vMerge w:val="restart"/>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kern w:val="0"/>
                <w:sz w:val="24"/>
              </w:rPr>
              <w:t>采样时间</w:t>
            </w:r>
          </w:p>
        </w:tc>
        <w:tc>
          <w:tcPr>
            <w:tcW w:w="1414" w:type="dxa"/>
            <w:vMerge w:val="restart"/>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kern w:val="0"/>
                <w:sz w:val="24"/>
              </w:rPr>
              <w:t>检测项目</w:t>
            </w:r>
          </w:p>
        </w:tc>
        <w:tc>
          <w:tcPr>
            <w:tcW w:w="4319" w:type="dxa"/>
            <w:gridSpan w:val="2"/>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kern w:val="0"/>
                <w:sz w:val="24"/>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569" w:type="dxa"/>
            <w:vMerge w:val="continue"/>
            <w:tcMar>
              <w:top w:w="15" w:type="dxa"/>
              <w:left w:w="15" w:type="dxa"/>
              <w:right w:w="15" w:type="dxa"/>
            </w:tcMar>
            <w:vAlign w:val="center"/>
          </w:tcPr>
          <w:p>
            <w:pPr>
              <w:snapToGrid w:val="0"/>
              <w:jc w:val="center"/>
              <w:rPr>
                <w:rFonts w:hint="eastAsia" w:asciiTheme="minorEastAsia" w:hAnsiTheme="minorEastAsia" w:eastAsiaTheme="minorEastAsia" w:cstheme="minorEastAsia"/>
                <w:color w:val="000000" w:themeColor="text1"/>
                <w:sz w:val="24"/>
              </w:rPr>
            </w:pPr>
          </w:p>
        </w:tc>
        <w:tc>
          <w:tcPr>
            <w:tcW w:w="1414" w:type="dxa"/>
            <w:vMerge w:val="continue"/>
            <w:tcMar>
              <w:top w:w="15" w:type="dxa"/>
              <w:left w:w="15" w:type="dxa"/>
              <w:right w:w="15" w:type="dxa"/>
            </w:tcMar>
            <w:vAlign w:val="center"/>
          </w:tcPr>
          <w:p>
            <w:pPr>
              <w:snapToGrid w:val="0"/>
              <w:jc w:val="center"/>
              <w:rPr>
                <w:rFonts w:hint="eastAsia" w:asciiTheme="minorEastAsia" w:hAnsiTheme="minorEastAsia" w:eastAsiaTheme="minorEastAsia" w:cstheme="minorEastAsia"/>
                <w:color w:val="000000" w:themeColor="text1"/>
                <w:sz w:val="24"/>
              </w:rPr>
            </w:pPr>
          </w:p>
        </w:tc>
        <w:tc>
          <w:tcPr>
            <w:tcW w:w="2269"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kern w:val="0"/>
                <w:sz w:val="24"/>
                <w:lang w:val="en-US" w:eastAsia="zh-CN"/>
              </w:rPr>
              <w:t>排放浓度</w:t>
            </w:r>
            <w:r>
              <w:rPr>
                <w:rFonts w:hint="eastAsia" w:asciiTheme="minorEastAsia" w:hAnsiTheme="minorEastAsia" w:eastAsiaTheme="minorEastAsia" w:cstheme="minorEastAsia"/>
                <w:color w:val="000000" w:themeColor="text1"/>
                <w:kern w:val="0"/>
                <w:sz w:val="24"/>
              </w:rPr>
              <w:t>（mg/m</w:t>
            </w:r>
            <w:r>
              <w:rPr>
                <w:rFonts w:hint="eastAsia" w:asciiTheme="minorEastAsia" w:hAnsiTheme="minorEastAsia" w:eastAsiaTheme="minorEastAsia" w:cstheme="minorEastAsia"/>
                <w:color w:val="000000" w:themeColor="text1"/>
                <w:kern w:val="0"/>
                <w:sz w:val="24"/>
                <w:vertAlign w:val="superscript"/>
              </w:rPr>
              <w:t>3</w:t>
            </w:r>
            <w:r>
              <w:rPr>
                <w:rFonts w:hint="eastAsia" w:asciiTheme="minorEastAsia" w:hAnsiTheme="minorEastAsia" w:eastAsiaTheme="minorEastAsia" w:cstheme="minorEastAsia"/>
                <w:color w:val="000000" w:themeColor="text1"/>
                <w:kern w:val="0"/>
                <w:sz w:val="24"/>
              </w:rPr>
              <w:t>）</w:t>
            </w:r>
          </w:p>
        </w:tc>
        <w:tc>
          <w:tcPr>
            <w:tcW w:w="2050"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569" w:type="dxa"/>
            <w:vMerge w:val="restart"/>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FF0000"/>
                <w:sz w:val="24"/>
                <w:lang w:val="en-US" w:eastAsia="zh-CN"/>
              </w:rPr>
            </w:pPr>
            <w:r>
              <w:rPr>
                <w:rFonts w:hint="eastAsia" w:asciiTheme="minorEastAsia" w:hAnsiTheme="minorEastAsia" w:eastAsiaTheme="minorEastAsia" w:cstheme="minorEastAsia"/>
                <w:color w:val="000000" w:themeColor="text1"/>
                <w:sz w:val="24"/>
                <w:lang w:val="en-US" w:eastAsia="zh-CN"/>
              </w:rPr>
              <w:t>2016.11.30</w:t>
            </w:r>
          </w:p>
        </w:tc>
        <w:tc>
          <w:tcPr>
            <w:tcW w:w="1414"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颗粒物</w:t>
            </w:r>
          </w:p>
        </w:tc>
        <w:tc>
          <w:tcPr>
            <w:tcW w:w="2269"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2.56</w:t>
            </w:r>
          </w:p>
        </w:tc>
        <w:tc>
          <w:tcPr>
            <w:tcW w:w="2050"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569" w:type="dxa"/>
            <w:vMerge w:val="continue"/>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FF0000"/>
                <w:sz w:val="24"/>
              </w:rPr>
            </w:pPr>
          </w:p>
        </w:tc>
        <w:tc>
          <w:tcPr>
            <w:tcW w:w="1414"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甲醛</w:t>
            </w:r>
          </w:p>
        </w:tc>
        <w:tc>
          <w:tcPr>
            <w:tcW w:w="2269"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ND</w:t>
            </w:r>
          </w:p>
        </w:tc>
        <w:tc>
          <w:tcPr>
            <w:tcW w:w="2050" w:type="dxa"/>
            <w:tcMar>
              <w:top w:w="15" w:type="dxa"/>
              <w:left w:w="15" w:type="dxa"/>
              <w:right w:w="15" w:type="dxa"/>
            </w:tcMar>
            <w:vAlign w:val="center"/>
          </w:tcPr>
          <w:p>
            <w:pPr>
              <w:widowControl/>
              <w:snapToGrid w:val="0"/>
              <w:jc w:val="center"/>
              <w:textAlignment w:val="center"/>
              <w:rPr>
                <w:rFonts w:hint="eastAsia" w:asciiTheme="minorEastAsia" w:hAnsiTheme="minorEastAsia" w:eastAsiaTheme="minorEastAsia" w:cstheme="minorEastAsia"/>
                <w:color w:val="000000" w:themeColor="text1"/>
                <w:sz w:val="24"/>
                <w:lang w:val="en-US" w:eastAsia="zh-CN"/>
              </w:rPr>
            </w:pPr>
            <w:r>
              <w:rPr>
                <w:rFonts w:hint="eastAsia" w:asciiTheme="minorEastAsia" w:hAnsiTheme="minorEastAsia" w:eastAsiaTheme="minorEastAsia" w:cstheme="minorEastAsia"/>
                <w:color w:val="000000" w:themeColor="text1"/>
                <w:sz w:val="24"/>
                <w:lang w:val="en-US" w:eastAsia="zh-CN"/>
              </w:rPr>
              <w:t>/</w:t>
            </w:r>
          </w:p>
        </w:tc>
      </w:tr>
    </w:tbl>
    <w:p>
      <w:pPr>
        <w:spacing w:line="360" w:lineRule="auto"/>
        <w:ind w:firstLine="56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注：1、甲醛的检出限为0.5</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ND</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表示未检出</w:t>
      </w:r>
    </w:p>
    <w:p>
      <w:pPr>
        <w:spacing w:line="360" w:lineRule="auto"/>
        <w:ind w:firstLine="56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2、“/”表示检测项目的排放浓度小于检出限，故排放速率无需计算</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2.3.2废水污染源达标分析</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本项目生活污水经厂区化粪池预处理、工业废水经厂区污水处理站预处理后接管丹阳市沃特污水处理厂，各污染物排放浓度可达到污水处理厂接管标准。</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2.3.3噪声污染源达标分析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rPr>
        <w:t>为了解项目目前噪声污染源排放达标情况，委托</w:t>
      </w:r>
      <w:r>
        <w:rPr>
          <w:rFonts w:hint="eastAsia" w:asciiTheme="minorEastAsia" w:hAnsiTheme="minorEastAsia" w:eastAsiaTheme="minorEastAsia" w:cstheme="minorEastAsia"/>
          <w:color w:val="auto"/>
          <w:sz w:val="28"/>
          <w:szCs w:val="28"/>
        </w:rPr>
        <w:t>无锡中证检测技术有限公司</w:t>
      </w:r>
      <w:r>
        <w:rPr>
          <w:rFonts w:hint="eastAsia" w:asciiTheme="minorEastAsia" w:hAnsiTheme="minorEastAsia" w:eastAsiaTheme="minorEastAsia" w:cstheme="minorEastAsia"/>
          <w:color w:val="auto"/>
          <w:sz w:val="28"/>
          <w:szCs w:val="28"/>
          <w:highlight w:val="none"/>
        </w:rPr>
        <w:t>于2016年</w:t>
      </w:r>
      <w:r>
        <w:rPr>
          <w:rFonts w:hint="eastAsia" w:asciiTheme="minorEastAsia" w:hAnsiTheme="minorEastAsia" w:eastAsiaTheme="minorEastAsia" w:cstheme="minorEastAsia"/>
          <w:color w:val="auto"/>
          <w:sz w:val="28"/>
          <w:szCs w:val="28"/>
          <w:highlight w:val="none"/>
          <w:lang w:val="en-US" w:eastAsia="zh-CN"/>
        </w:rPr>
        <w:t>12</w:t>
      </w:r>
      <w:r>
        <w:rPr>
          <w:rFonts w:hint="eastAsia" w:asciiTheme="minorEastAsia" w:hAnsiTheme="minorEastAsia" w:eastAsiaTheme="minorEastAsia" w:cstheme="minorEastAsia"/>
          <w:color w:val="auto"/>
          <w:sz w:val="28"/>
          <w:szCs w:val="28"/>
          <w:highlight w:val="none"/>
        </w:rPr>
        <w:t xml:space="preserve"> 月</w:t>
      </w: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 xml:space="preserve"> 日对公司各厂界噪声进行了监测，监测</w:t>
      </w:r>
      <w:r>
        <w:rPr>
          <w:rFonts w:hint="eastAsia" w:asciiTheme="minorEastAsia" w:hAnsiTheme="minorEastAsia" w:eastAsiaTheme="minorEastAsia" w:cstheme="minorEastAsia"/>
          <w:color w:val="auto"/>
          <w:sz w:val="28"/>
          <w:szCs w:val="28"/>
        </w:rPr>
        <w:t>数据见表2.3-</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。根据监测结果，各厂界噪声均达到</w:t>
      </w:r>
      <w:r>
        <w:rPr>
          <w:rFonts w:hint="eastAsia" w:asciiTheme="minorEastAsia" w:hAnsiTheme="minorEastAsia" w:eastAsiaTheme="minorEastAsia" w:cstheme="minorEastAsia"/>
          <w:snapToGrid w:val="0"/>
          <w:color w:val="auto"/>
          <w:kern w:val="0"/>
          <w:sz w:val="28"/>
          <w:szCs w:val="28"/>
        </w:rPr>
        <w:t>《工业企业厂界环境噪声排放标准》（GB12348-2008）</w:t>
      </w:r>
      <w:r>
        <w:rPr>
          <w:rFonts w:hint="eastAsia" w:asciiTheme="minorEastAsia" w:hAnsiTheme="minorEastAsia" w:eastAsiaTheme="minorEastAsia" w:cstheme="minorEastAsia"/>
          <w:snapToGrid w:val="0"/>
          <w:color w:val="auto"/>
          <w:kern w:val="0"/>
          <w:sz w:val="28"/>
          <w:szCs w:val="28"/>
          <w:lang w:val="en-US" w:eastAsia="zh-CN"/>
        </w:rPr>
        <w:t>3</w:t>
      </w:r>
      <w:r>
        <w:rPr>
          <w:rFonts w:hint="eastAsia" w:asciiTheme="minorEastAsia" w:hAnsiTheme="minorEastAsia" w:eastAsiaTheme="minorEastAsia" w:cstheme="minorEastAsia"/>
          <w:snapToGrid w:val="0"/>
          <w:color w:val="auto"/>
          <w:kern w:val="0"/>
          <w:sz w:val="28"/>
          <w:szCs w:val="28"/>
        </w:rPr>
        <w:t>类标准。</w:t>
      </w:r>
    </w:p>
    <w:p>
      <w:pPr>
        <w:adjustRightInd w:val="0"/>
        <w:snapToGrid w:val="0"/>
        <w:spacing w:line="360" w:lineRule="auto"/>
        <w:jc w:val="center"/>
        <w:rPr>
          <w:rFonts w:hint="eastAsia" w:asciiTheme="minorEastAsia" w:hAnsiTheme="minorEastAsia" w:eastAsiaTheme="minorEastAsia" w:cstheme="minorEastAsia"/>
          <w:color w:val="FF0000"/>
          <w:sz w:val="28"/>
          <w:szCs w:val="28"/>
          <w:highlight w:val="yellow"/>
        </w:rPr>
      </w:pPr>
      <w:r>
        <w:rPr>
          <w:rFonts w:hint="eastAsia" w:asciiTheme="minorEastAsia" w:hAnsiTheme="minorEastAsia" w:eastAsiaTheme="minorEastAsia" w:cstheme="minorEastAsia"/>
          <w:b/>
          <w:snapToGrid w:val="0"/>
          <w:color w:val="auto"/>
          <w:kern w:val="18"/>
          <w:sz w:val="28"/>
          <w:szCs w:val="28"/>
          <w:highlight w:val="none"/>
        </w:rPr>
        <w:t>表2.3-</w:t>
      </w:r>
      <w:r>
        <w:rPr>
          <w:rFonts w:hint="eastAsia" w:asciiTheme="minorEastAsia" w:hAnsiTheme="minorEastAsia" w:eastAsiaTheme="minorEastAsia" w:cstheme="minorEastAsia"/>
          <w:b/>
          <w:snapToGrid w:val="0"/>
          <w:color w:val="auto"/>
          <w:kern w:val="18"/>
          <w:sz w:val="28"/>
          <w:szCs w:val="28"/>
          <w:highlight w:val="none"/>
          <w:lang w:val="en-US" w:eastAsia="zh-CN"/>
        </w:rPr>
        <w:t>3</w:t>
      </w:r>
      <w:r>
        <w:rPr>
          <w:rFonts w:hint="eastAsia" w:asciiTheme="minorEastAsia" w:hAnsiTheme="minorEastAsia" w:eastAsiaTheme="minorEastAsia" w:cstheme="minorEastAsia"/>
          <w:b/>
          <w:snapToGrid w:val="0"/>
          <w:color w:val="auto"/>
          <w:kern w:val="18"/>
          <w:sz w:val="28"/>
          <w:szCs w:val="28"/>
          <w:highlight w:val="none"/>
        </w:rPr>
        <w:t>公司厂界声环境监测结果</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413"/>
        <w:gridCol w:w="2835"/>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523" w:type="dxa"/>
            <w:vAlign w:val="center"/>
          </w:tcPr>
          <w:p>
            <w:pPr>
              <w:adjustRightInd w:val="0"/>
              <w:jc w:val="center"/>
              <w:textAlignment w:val="baseline"/>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监测时间</w:t>
            </w:r>
          </w:p>
        </w:tc>
        <w:tc>
          <w:tcPr>
            <w:tcW w:w="2413" w:type="dxa"/>
            <w:vAlign w:val="center"/>
          </w:tcPr>
          <w:p>
            <w:pPr>
              <w:adjustRightInd w:val="0"/>
              <w:jc w:val="center"/>
              <w:textAlignment w:val="baseline"/>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检测点位置</w:t>
            </w:r>
          </w:p>
        </w:tc>
        <w:tc>
          <w:tcPr>
            <w:tcW w:w="2835" w:type="dxa"/>
            <w:vAlign w:val="center"/>
          </w:tcPr>
          <w:p>
            <w:pPr>
              <w:adjustRightInd w:val="0"/>
              <w:jc w:val="center"/>
              <w:textAlignment w:val="baseline"/>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昼间</w:t>
            </w:r>
          </w:p>
        </w:tc>
        <w:tc>
          <w:tcPr>
            <w:tcW w:w="1757" w:type="dxa"/>
            <w:vAlign w:val="center"/>
          </w:tcPr>
          <w:p>
            <w:pPr>
              <w:adjustRightInd w:val="0"/>
              <w:jc w:val="center"/>
              <w:textAlignment w:val="baseline"/>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restart"/>
            <w:vAlign w:val="center"/>
          </w:tcPr>
          <w:p>
            <w:pPr>
              <w:adjustRightInd w:val="0"/>
              <w:jc w:val="center"/>
              <w:textAlignment w:val="baseline"/>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000000" w:themeColor="text1"/>
                <w:sz w:val="24"/>
                <w:lang w:val="en-US" w:eastAsia="zh-CN"/>
              </w:rPr>
              <w:t>2016.11.30</w:t>
            </w:r>
          </w:p>
        </w:tc>
        <w:tc>
          <w:tcPr>
            <w:tcW w:w="2413" w:type="dxa"/>
            <w:textDirection w:val="lrTb"/>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000000" w:themeColor="text1"/>
                <w:sz w:val="24"/>
                <w:highlight w:val="none"/>
                <w:lang w:val="en-US" w:eastAsia="zh-CN"/>
              </w:rPr>
              <w:t>N1厂界外东侧1m</w:t>
            </w:r>
          </w:p>
        </w:tc>
        <w:tc>
          <w:tcPr>
            <w:tcW w:w="2835" w:type="dxa"/>
            <w:vAlign w:val="center"/>
          </w:tcPr>
          <w:p>
            <w:pPr>
              <w:adjustRightInd w:val="0"/>
              <w:jc w:val="center"/>
              <w:textAlignment w:val="baseline"/>
              <w:rPr>
                <w:rFonts w:hint="eastAsia" w:asciiTheme="minorEastAsia" w:hAnsiTheme="minorEastAsia" w:eastAsiaTheme="minorEastAsia" w:cstheme="minorEastAsia"/>
                <w:bCs/>
                <w:color w:val="auto"/>
                <w:sz w:val="24"/>
                <w:lang w:val="en-US" w:eastAsia="zh-CN"/>
              </w:rPr>
            </w:pPr>
            <w:r>
              <w:rPr>
                <w:rFonts w:hint="eastAsia" w:asciiTheme="minorEastAsia" w:hAnsiTheme="minorEastAsia" w:eastAsiaTheme="minorEastAsia" w:cstheme="minorEastAsia"/>
                <w:bCs/>
                <w:color w:val="auto"/>
                <w:sz w:val="24"/>
                <w:lang w:val="en-US" w:eastAsia="zh-CN"/>
              </w:rPr>
              <w:t>52.4</w:t>
            </w:r>
          </w:p>
        </w:tc>
        <w:tc>
          <w:tcPr>
            <w:tcW w:w="1757" w:type="dxa"/>
            <w:vAlign w:val="center"/>
          </w:tcPr>
          <w:p>
            <w:pPr>
              <w:adjustRightInd w:val="0"/>
              <w:jc w:val="center"/>
              <w:textAlignment w:val="baseline"/>
              <w:rPr>
                <w:rFonts w:hint="eastAsia" w:asciiTheme="minorEastAsia" w:hAnsiTheme="minorEastAsia" w:eastAsiaTheme="minorEastAsia" w:cstheme="minorEastAsia"/>
                <w:bCs/>
                <w:color w:val="auto"/>
                <w:sz w:val="24"/>
                <w:lang w:val="en-US" w:eastAsia="zh-CN"/>
              </w:rPr>
            </w:pPr>
            <w:r>
              <w:rPr>
                <w:rFonts w:hint="eastAsia" w:asciiTheme="minorEastAsia" w:hAnsiTheme="minorEastAsia" w:eastAsiaTheme="minorEastAsia" w:cstheme="minorEastAsia"/>
                <w:bCs/>
                <w:color w:val="auto"/>
                <w:sz w:val="24"/>
                <w:lang w:val="en-US" w:eastAsia="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vAlign w:val="center"/>
          </w:tcPr>
          <w:p>
            <w:pPr>
              <w:adjustRightInd w:val="0"/>
              <w:jc w:val="center"/>
              <w:textAlignment w:val="baseline"/>
              <w:rPr>
                <w:rFonts w:hint="eastAsia" w:asciiTheme="minorEastAsia" w:hAnsiTheme="minorEastAsia" w:eastAsiaTheme="minorEastAsia" w:cstheme="minorEastAsia"/>
                <w:color w:val="auto"/>
                <w:sz w:val="24"/>
              </w:rPr>
            </w:pPr>
          </w:p>
        </w:tc>
        <w:tc>
          <w:tcPr>
            <w:tcW w:w="2413" w:type="dxa"/>
            <w:textDirection w:val="lrTb"/>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000000" w:themeColor="text1"/>
                <w:sz w:val="24"/>
                <w:highlight w:val="none"/>
                <w:lang w:val="en-US" w:eastAsia="zh-CN"/>
              </w:rPr>
              <w:t>N2厂界外南侧1m</w:t>
            </w:r>
          </w:p>
        </w:tc>
        <w:tc>
          <w:tcPr>
            <w:tcW w:w="2835"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52.7</w:t>
            </w:r>
          </w:p>
        </w:tc>
        <w:tc>
          <w:tcPr>
            <w:tcW w:w="1757"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vAlign w:val="center"/>
          </w:tcPr>
          <w:p>
            <w:pPr>
              <w:adjustRightInd w:val="0"/>
              <w:jc w:val="center"/>
              <w:textAlignment w:val="baseline"/>
              <w:rPr>
                <w:rFonts w:hint="eastAsia" w:asciiTheme="minorEastAsia" w:hAnsiTheme="minorEastAsia" w:eastAsiaTheme="minorEastAsia" w:cstheme="minorEastAsia"/>
                <w:color w:val="auto"/>
                <w:sz w:val="24"/>
              </w:rPr>
            </w:pPr>
          </w:p>
        </w:tc>
        <w:tc>
          <w:tcPr>
            <w:tcW w:w="2413" w:type="dxa"/>
            <w:textDirection w:val="lrTb"/>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000000" w:themeColor="text1"/>
                <w:sz w:val="24"/>
                <w:highlight w:val="none"/>
                <w:lang w:val="en-US" w:eastAsia="zh-CN"/>
              </w:rPr>
              <w:t>N3厂界外西侧1m</w:t>
            </w:r>
          </w:p>
        </w:tc>
        <w:tc>
          <w:tcPr>
            <w:tcW w:w="2835"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54.8</w:t>
            </w:r>
          </w:p>
        </w:tc>
        <w:tc>
          <w:tcPr>
            <w:tcW w:w="1757"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vMerge w:val="continue"/>
            <w:vAlign w:val="center"/>
          </w:tcPr>
          <w:p>
            <w:pPr>
              <w:adjustRightInd w:val="0"/>
              <w:jc w:val="center"/>
              <w:textAlignment w:val="baseline"/>
              <w:rPr>
                <w:rFonts w:hint="eastAsia" w:asciiTheme="minorEastAsia" w:hAnsiTheme="minorEastAsia" w:eastAsiaTheme="minorEastAsia" w:cstheme="minorEastAsia"/>
                <w:color w:val="auto"/>
                <w:sz w:val="24"/>
              </w:rPr>
            </w:pPr>
          </w:p>
        </w:tc>
        <w:tc>
          <w:tcPr>
            <w:tcW w:w="2413" w:type="dxa"/>
            <w:textDirection w:val="lrTb"/>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000000" w:themeColor="text1"/>
                <w:sz w:val="24"/>
                <w:highlight w:val="none"/>
                <w:lang w:val="en-US" w:eastAsia="zh-CN"/>
              </w:rPr>
              <w:t>N4厂界外北侧1m</w:t>
            </w:r>
          </w:p>
        </w:tc>
        <w:tc>
          <w:tcPr>
            <w:tcW w:w="2835"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52.7</w:t>
            </w:r>
          </w:p>
        </w:tc>
        <w:tc>
          <w:tcPr>
            <w:tcW w:w="1757"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36" w:type="dxa"/>
            <w:gridSpan w:val="2"/>
            <w:vAlign w:val="center"/>
          </w:tcPr>
          <w:p>
            <w:pPr>
              <w:adjustRightInd w:val="0"/>
              <w:jc w:val="center"/>
              <w:textAlignment w:val="baseline"/>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标准</w:t>
            </w:r>
          </w:p>
        </w:tc>
        <w:tc>
          <w:tcPr>
            <w:tcW w:w="2835"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65</w:t>
            </w:r>
          </w:p>
        </w:tc>
        <w:tc>
          <w:tcPr>
            <w:tcW w:w="1757" w:type="dxa"/>
            <w:vAlign w:val="center"/>
          </w:tcPr>
          <w:p>
            <w:pPr>
              <w:adjustRightInd w:val="0"/>
              <w:jc w:val="center"/>
              <w:textAlignment w:val="baseline"/>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55</w:t>
            </w:r>
          </w:p>
        </w:tc>
      </w:tr>
    </w:tbl>
    <w:p>
      <w:pPr>
        <w:pStyle w:val="30"/>
        <w:spacing w:before="120" w:after="120"/>
        <w:rPr>
          <w:rFonts w:hint="eastAsia" w:asciiTheme="minorEastAsia" w:hAnsiTheme="minorEastAsia" w:eastAsiaTheme="minorEastAsia" w:cstheme="minorEastAsia"/>
        </w:rPr>
      </w:pPr>
      <w:bookmarkStart w:id="44" w:name="_Toc12896"/>
      <w:r>
        <w:rPr>
          <w:rFonts w:hint="eastAsia" w:asciiTheme="minorEastAsia" w:hAnsiTheme="minorEastAsia" w:eastAsiaTheme="minorEastAsia" w:cstheme="minorEastAsia"/>
        </w:rPr>
        <w:t>2.4污染物排放总量</w:t>
      </w:r>
      <w:bookmarkEnd w:id="44"/>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本项目污染物排放总量见表2.4-1。</w:t>
      </w:r>
    </w:p>
    <w:p>
      <w:pPr>
        <w:adjustRightInd w:val="0"/>
        <w:snapToGrid w:val="0"/>
        <w:spacing w:line="360" w:lineRule="auto"/>
        <w:jc w:val="center"/>
        <w:rPr>
          <w:rFonts w:hint="eastAsia" w:asciiTheme="minorEastAsia" w:hAnsiTheme="minorEastAsia" w:eastAsiaTheme="minorEastAsia" w:cstheme="minorEastAsia"/>
          <w:b/>
          <w:snapToGrid w:val="0"/>
          <w:kern w:val="18"/>
          <w:sz w:val="28"/>
          <w:szCs w:val="28"/>
        </w:rPr>
      </w:pPr>
      <w:r>
        <w:rPr>
          <w:rFonts w:hint="eastAsia" w:asciiTheme="minorEastAsia" w:hAnsiTheme="minorEastAsia" w:eastAsiaTheme="minorEastAsia" w:cstheme="minorEastAsia"/>
          <w:b/>
          <w:snapToGrid w:val="0"/>
          <w:kern w:val="18"/>
          <w:sz w:val="28"/>
          <w:szCs w:val="28"/>
        </w:rPr>
        <w:br w:type="page"/>
      </w:r>
      <w:r>
        <w:rPr>
          <w:rFonts w:hint="eastAsia" w:asciiTheme="minorEastAsia" w:hAnsiTheme="minorEastAsia" w:eastAsiaTheme="minorEastAsia" w:cstheme="minorEastAsia"/>
          <w:b/>
          <w:snapToGrid w:val="0"/>
          <w:kern w:val="18"/>
          <w:sz w:val="28"/>
          <w:szCs w:val="28"/>
        </w:rPr>
        <w:t>表2.4-1  本项目污染物产生及排放汇总表（t/a）</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27"/>
        <w:gridCol w:w="793"/>
        <w:gridCol w:w="851"/>
        <w:gridCol w:w="1418"/>
        <w:gridCol w:w="1367"/>
        <w:gridCol w:w="132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814"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种类</w:t>
            </w: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污染物名称</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产生量</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削减量</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814"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废气</w:t>
            </w:r>
          </w:p>
        </w:tc>
        <w:tc>
          <w:tcPr>
            <w:tcW w:w="627"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有</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组</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织</w:t>
            </w: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粉尘</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1430</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1422.85</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continue"/>
            <w:tcBorders/>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甲醛</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0.68</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continue"/>
            <w:tcBorders/>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非甲烷总烃</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0.16</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continue"/>
            <w:tcBorders/>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烟尘</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211</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189.9</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continue"/>
            <w:tcBorders/>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SO</w:t>
            </w:r>
            <w:r>
              <w:rPr>
                <w:rFonts w:hint="eastAsia" w:cs="Times New Roman" w:eastAsiaTheme="minorEastAsia"/>
                <w:sz w:val="24"/>
                <w:vertAlign w:val="subscript"/>
                <w:lang w:val="en-US" w:eastAsia="zh-CN"/>
              </w:rPr>
              <w:t>2</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9.5</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continue"/>
            <w:tcBorders/>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NO</w:t>
            </w:r>
            <w:r>
              <w:rPr>
                <w:rFonts w:hint="eastAsia" w:cs="Times New Roman" w:eastAsiaTheme="minorEastAsia"/>
                <w:sz w:val="24"/>
                <w:vertAlign w:val="subscript"/>
                <w:lang w:val="en-US" w:eastAsia="zh-CN"/>
              </w:rPr>
              <w:t>X</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5.7</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restart"/>
            <w:tcBorders/>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无组织</w:t>
            </w: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甲醛</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0.0068</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tcBorders/>
            <w:vAlign w:val="center"/>
          </w:tcPr>
          <w:p>
            <w:pPr>
              <w:adjustRightInd w:val="0"/>
              <w:snapToGrid w:val="0"/>
              <w:jc w:val="center"/>
              <w:rPr>
                <w:rFonts w:hint="eastAsia" w:cs="Times New Roman" w:eastAsiaTheme="minorEastAsia"/>
                <w:sz w:val="24"/>
                <w:lang w:val="en-US" w:eastAsia="zh-CN"/>
              </w:rPr>
            </w:pPr>
          </w:p>
        </w:tc>
        <w:tc>
          <w:tcPr>
            <w:tcW w:w="627" w:type="dxa"/>
            <w:vMerge w:val="continue"/>
            <w:tcBorders/>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非甲烷总烃</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0.0016</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 w:hRule="atLeast"/>
          <w:jc w:val="center"/>
        </w:trPr>
        <w:tc>
          <w:tcPr>
            <w:tcW w:w="814"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废水</w:t>
            </w: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接管量</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最终排放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污水量</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3875</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3875</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生活污水</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2592</w:t>
            </w: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COD</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0.91</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0.91</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SS</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1.04</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1.04</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氨氮</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0.065</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0.065</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总磷</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default" w:cs="Times New Roman" w:eastAsiaTheme="minorEastAsia"/>
                <w:sz w:val="24"/>
                <w:lang w:val="en-US" w:eastAsia="zh-CN"/>
              </w:rPr>
              <w:t>0.0</w:t>
            </w:r>
            <w:r>
              <w:rPr>
                <w:rFonts w:hint="eastAsia" w:cs="Times New Roman" w:eastAsiaTheme="minorEastAsia"/>
                <w:sz w:val="24"/>
                <w:lang w:val="en-US" w:eastAsia="zh-CN"/>
              </w:rPr>
              <w:t>21</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default" w:cs="Times New Roman" w:eastAsiaTheme="minorEastAsia"/>
                <w:sz w:val="24"/>
                <w:lang w:val="en-US" w:eastAsia="zh-CN"/>
              </w:rPr>
              <w:t>0.0</w:t>
            </w:r>
            <w:r>
              <w:rPr>
                <w:rFonts w:hint="eastAsia" w:cs="Times New Roman" w:eastAsiaTheme="minorEastAsia"/>
                <w:sz w:val="24"/>
                <w:lang w:val="en-US" w:eastAsia="zh-CN"/>
              </w:rPr>
              <w:t>21</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工业废水</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1283</w:t>
            </w: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COD</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0.45</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0.45</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SS</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0.51</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0.51</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814"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固废</w:t>
            </w: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一般工业固废</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9846</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9846</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危险工业固废</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7.6</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7.6</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生活垃圾</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16.2</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16.2</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r>
    </w:tbl>
    <w:p>
      <w:pPr>
        <w:pStyle w:val="7"/>
        <w:adjustRightInd w:val="0"/>
        <w:snapToGrid w:val="0"/>
        <w:rPr>
          <w:rFonts w:hint="eastAsia" w:asciiTheme="minorEastAsia" w:hAnsiTheme="minorEastAsia" w:eastAsiaTheme="minorEastAsia" w:cstheme="minorEastAsia"/>
          <w:kern w:val="21"/>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29"/>
        <w:spacing w:before="120" w:after="120"/>
        <w:jc w:val="center"/>
        <w:rPr>
          <w:rFonts w:hint="eastAsia" w:asciiTheme="minorEastAsia" w:hAnsiTheme="minorEastAsia" w:eastAsiaTheme="minorEastAsia" w:cstheme="minorEastAsia"/>
        </w:rPr>
      </w:pPr>
      <w:bookmarkStart w:id="45" w:name="_Toc1460"/>
      <w:r>
        <w:rPr>
          <w:rFonts w:hint="eastAsia" w:asciiTheme="minorEastAsia" w:hAnsiTheme="minorEastAsia" w:eastAsiaTheme="minorEastAsia" w:cstheme="minorEastAsia"/>
        </w:rPr>
        <w:t>第3章 区域环境概况</w:t>
      </w:r>
      <w:bookmarkEnd w:id="45"/>
    </w:p>
    <w:p>
      <w:pPr>
        <w:pStyle w:val="30"/>
        <w:spacing w:before="120" w:after="120"/>
        <w:rPr>
          <w:rFonts w:hint="eastAsia" w:asciiTheme="minorEastAsia" w:hAnsiTheme="minorEastAsia" w:eastAsiaTheme="minorEastAsia" w:cstheme="minorEastAsia"/>
        </w:rPr>
      </w:pPr>
      <w:bookmarkStart w:id="46" w:name="_Toc146436337"/>
      <w:bookmarkStart w:id="47" w:name="_Toc224440825"/>
      <w:bookmarkStart w:id="48" w:name="_Toc3136"/>
      <w:r>
        <w:rPr>
          <w:rFonts w:hint="eastAsia" w:asciiTheme="minorEastAsia" w:hAnsiTheme="minorEastAsia" w:eastAsiaTheme="minorEastAsia" w:cstheme="minorEastAsia"/>
        </w:rPr>
        <w:t>3.1</w:t>
      </w:r>
      <w:bookmarkEnd w:id="46"/>
      <w:bookmarkEnd w:id="47"/>
      <w:r>
        <w:rPr>
          <w:rFonts w:hint="eastAsia" w:asciiTheme="minorEastAsia" w:hAnsiTheme="minorEastAsia" w:eastAsiaTheme="minorEastAsia" w:cstheme="minorEastAsia"/>
        </w:rPr>
        <w:t>自然环境概况</w:t>
      </w:r>
      <w:bookmarkEnd w:id="48"/>
    </w:p>
    <w:p>
      <w:pPr>
        <w:pStyle w:val="32"/>
        <w:spacing w:before="120" w:after="120"/>
        <w:rPr>
          <w:rFonts w:hint="eastAsia" w:asciiTheme="minorEastAsia" w:hAnsiTheme="minorEastAsia" w:eastAsiaTheme="minorEastAsia" w:cstheme="minorEastAsia"/>
        </w:rPr>
      </w:pPr>
      <w:bookmarkStart w:id="49" w:name="_Toc224440826"/>
      <w:r>
        <w:rPr>
          <w:rFonts w:hint="eastAsia" w:asciiTheme="minorEastAsia" w:hAnsiTheme="minorEastAsia" w:eastAsiaTheme="minorEastAsia" w:cstheme="minorEastAsia"/>
        </w:rPr>
        <w:t>3.1.1地理位置</w:t>
      </w:r>
      <w:bookmarkEnd w:id="49"/>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丹阳市地处太湖流域上游地区，座落在江苏省南部、镇江与常州之间，地处东经119°24＇～119°54＇、北纬31°45＇～32°10＇；全市土地面积1047平方公里，其中陆地面积850.2平方公里，占总面积的81.2%，水域面积196.8平方公里，占18.8%；全市南北长44公里，东西宽32.5公里；东邻武进县，南毗金坛市，西与丹徒县交界，北与扬中市隔江相望。沪宁铁路、沪宁高速公路和312国道横穿境内，京杭大运河横穿境内，水陆交通十分便利。</w:t>
      </w:r>
    </w:p>
    <w:p>
      <w:pPr>
        <w:pStyle w:val="32"/>
        <w:spacing w:before="120" w:after="120"/>
        <w:rPr>
          <w:rFonts w:hint="eastAsia" w:asciiTheme="minorEastAsia" w:hAnsiTheme="minorEastAsia" w:eastAsiaTheme="minorEastAsia" w:cstheme="minorEastAsia"/>
        </w:rPr>
      </w:pPr>
      <w:bookmarkStart w:id="50" w:name="_Toc224440827"/>
      <w:r>
        <w:rPr>
          <w:rFonts w:hint="eastAsia" w:asciiTheme="minorEastAsia" w:hAnsiTheme="minorEastAsia" w:eastAsiaTheme="minorEastAsia" w:cstheme="minorEastAsia"/>
        </w:rPr>
        <w:t>3.1.2地形地貌</w:t>
      </w:r>
      <w:bookmarkEnd w:id="5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丹阳地处宁镇低山丘陵和太湖平原交替地带，地层单元属扬子地层分区，为第四系沉积。地势西北高，东南低，地面高程（吴淞高程）7m左右。境内以平原为主，低山丘陵次之。东部、南部为长江冲积平原，属太湖平原湖西部分；西部与北部为宁镇丘陵东段，是低山丘陵区。境内土地肥沃，沟渠河塘较多，土壤为砂粘土。</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本区地震基本烈度为7度。</w:t>
      </w:r>
    </w:p>
    <w:p>
      <w:pPr>
        <w:pStyle w:val="32"/>
        <w:spacing w:before="120" w:after="120"/>
        <w:rPr>
          <w:rFonts w:hint="eastAsia" w:asciiTheme="minorEastAsia" w:hAnsiTheme="minorEastAsia" w:eastAsiaTheme="minorEastAsia" w:cstheme="minorEastAsia"/>
        </w:rPr>
      </w:pPr>
      <w:bookmarkStart w:id="51" w:name="_Toc224440828"/>
      <w:r>
        <w:rPr>
          <w:rFonts w:hint="eastAsia" w:asciiTheme="minorEastAsia" w:hAnsiTheme="minorEastAsia" w:eastAsiaTheme="minorEastAsia" w:cstheme="minorEastAsia"/>
        </w:rPr>
        <w:t>3.1.3气象气候</w:t>
      </w:r>
      <w:bookmarkEnd w:id="51"/>
    </w:p>
    <w:p>
      <w:pPr>
        <w:spacing w:line="360" w:lineRule="auto"/>
        <w:ind w:firstLine="560" w:firstLineChars="200"/>
        <w:rPr>
          <w:rFonts w:hint="eastAsia" w:asciiTheme="minorEastAsia" w:hAnsiTheme="minorEastAsia" w:eastAsiaTheme="minorEastAsia" w:cstheme="minorEastAsia"/>
          <w:sz w:val="28"/>
          <w:szCs w:val="28"/>
        </w:rPr>
      </w:pPr>
      <w:bookmarkStart w:id="52" w:name="_Toc106878151"/>
      <w:bookmarkStart w:id="53" w:name="_Toc533233533"/>
      <w:bookmarkStart w:id="54" w:name="_Toc8395396"/>
      <w:bookmarkStart w:id="55" w:name="_Toc533240341"/>
      <w:bookmarkStart w:id="56" w:name="_Toc533233696"/>
      <w:bookmarkStart w:id="57" w:name="_Toc224440829"/>
      <w:r>
        <w:rPr>
          <w:rFonts w:hint="eastAsia" w:asciiTheme="minorEastAsia" w:hAnsiTheme="minorEastAsia" w:eastAsiaTheme="minorEastAsia" w:cstheme="minorEastAsia"/>
          <w:sz w:val="28"/>
          <w:szCs w:val="28"/>
        </w:rPr>
        <w:t>丹阳市处在亚热带与南温带的过渡性气候带中，具有明显的季风特征，四季分明，降水丰沛，光照充足。年平均气温15°C，年日照量为2021小时，无霜期230天，平均降水量为1058.4毫米/年。春秋两季为冬夏季风交替时期，常出现 小冷暖、干湿多变的天气；夏季盛行海洋来的东南风，以炎热多雨天气为主，6月中下旬该地区进入梅雨期，天气闷热潮湿，雨量集中，多雷雨、大雨或暴雨；冬季以寒冷少雨天气为主。根据丹阳市气象站提供的资料，其主要气特气象征见表3.1-1。</w:t>
      </w:r>
    </w:p>
    <w:p>
      <w:pPr>
        <w:adjustRightInd w:val="0"/>
        <w:snapToGrid w:val="0"/>
        <w:spacing w:line="360" w:lineRule="auto"/>
        <w:jc w:val="center"/>
        <w:rPr>
          <w:rFonts w:hint="eastAsia" w:asciiTheme="minorEastAsia" w:hAnsiTheme="minorEastAsia" w:eastAsiaTheme="minorEastAsia" w:cstheme="minorEastAsia"/>
          <w:b/>
          <w:snapToGrid w:val="0"/>
          <w:kern w:val="18"/>
          <w:sz w:val="28"/>
          <w:szCs w:val="28"/>
        </w:rPr>
      </w:pPr>
      <w:r>
        <w:rPr>
          <w:rFonts w:hint="eastAsia" w:asciiTheme="minorEastAsia" w:hAnsiTheme="minorEastAsia" w:eastAsiaTheme="minorEastAsia" w:cstheme="minorEastAsia"/>
          <w:b/>
          <w:snapToGrid w:val="0"/>
          <w:kern w:val="18"/>
          <w:sz w:val="28"/>
          <w:szCs w:val="28"/>
        </w:rPr>
        <w:t>表3.1-1  项目所在地主要气象气候特征</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483"/>
        <w:gridCol w:w="144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68" w:type="dxa"/>
            <w:gridSpan w:val="2"/>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　　　　目</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　　位</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数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气温</w:t>
            </w: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年平均气温</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极端最高温度</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极端最低温度</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最热月平均温度（7月）</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最冷月平均温度（1月）</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风速</w:t>
            </w: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年平均风速</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m/s</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最大风速</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m/s</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气压</w:t>
            </w: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年平均大气压</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kPa</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相对湿度</w:t>
            </w: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年平均相对湿度</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最热月平均相对湿度（7月）</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最冷月平均相对湿度（1月）</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降雨量</w:t>
            </w: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年平均降水量</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mm</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日最大降水量</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mm</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年最大降水量</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mm</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主导风向</w:t>
            </w: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常年主导风向</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偏东风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夏季主导风向</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E SW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5" w:type="dxa"/>
            <w:vMerge w:val="continue"/>
            <w:vAlign w:val="center"/>
          </w:tcPr>
          <w:p>
            <w:pPr>
              <w:jc w:val="center"/>
              <w:rPr>
                <w:rFonts w:hint="eastAsia" w:asciiTheme="minorEastAsia" w:hAnsiTheme="minorEastAsia" w:eastAsiaTheme="minorEastAsia" w:cstheme="minorEastAsia"/>
                <w:sz w:val="24"/>
              </w:rPr>
            </w:pPr>
          </w:p>
        </w:tc>
        <w:tc>
          <w:tcPr>
            <w:tcW w:w="3483"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冬季主导风向</w:t>
            </w:r>
          </w:p>
        </w:tc>
        <w:tc>
          <w:tcPr>
            <w:tcW w:w="144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12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NE NW</w:t>
            </w:r>
          </w:p>
        </w:tc>
      </w:tr>
      <w:bookmarkEnd w:id="52"/>
      <w:bookmarkEnd w:id="53"/>
      <w:bookmarkEnd w:id="54"/>
      <w:bookmarkEnd w:id="55"/>
      <w:bookmarkEnd w:id="56"/>
    </w:tbl>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3.1.4水文情况</w:t>
      </w:r>
    </w:p>
    <w:bookmarkEnd w:id="57"/>
    <w:p>
      <w:pPr>
        <w:spacing w:line="360" w:lineRule="auto"/>
        <w:ind w:firstLine="560" w:firstLineChars="200"/>
        <w:rPr>
          <w:rFonts w:hint="eastAsia" w:asciiTheme="minorEastAsia" w:hAnsiTheme="minorEastAsia" w:eastAsiaTheme="minorEastAsia" w:cstheme="minorEastAsia"/>
          <w:sz w:val="28"/>
          <w:szCs w:val="28"/>
        </w:rPr>
      </w:pPr>
      <w:bookmarkStart w:id="58" w:name="_Toc224440832"/>
      <w:r>
        <w:rPr>
          <w:rFonts w:hint="eastAsia" w:asciiTheme="minorEastAsia" w:hAnsiTheme="minorEastAsia" w:eastAsiaTheme="minorEastAsia" w:cstheme="minorEastAsia"/>
          <w:sz w:val="28"/>
          <w:szCs w:val="28"/>
        </w:rPr>
        <w:t>丹阳市以宁镇丘陵为分水岭，形成两大水系区域。北部为长江水系，流域面积占全县总面积的10.7%。该区域河流短小，发源于宁镇丘陵，大多由西流向东，注入长江。夏季流量多而急，冬季流量少而慢。南部属于太湖水系，流域面积占全县总面积的89.3%。该区域河流自北向南，汇集了宁镇丘陵低山南麓和茅山东北麓的地表水，注入金坛市的长荡湖和武进市的滆湖。流量大，流速慢，水位变化小。太湖水系的南部和东部地区，多天然湖塘。京杭运河和九曲河将太湖水系和长江水系相连接，从而构成丹阳的水系网络。</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（1）京杭运河</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从丹徒区流入市境，正南向流经大泊、练湖、城镇至丹凤，在石城处折向东南，经荆林、横塘、陵口、折柳、运河，到吕城镇界首村入武进市。县境内长28.6 公里，流域面积543 平方公里。底宽15～16 米，宽度40~70 米，水面标高平均3.5 米，最高7.47 米，最低2.2米。河流流速高峰1.7m/s，平均0.4~0.6 m/s，枯水0~0.3m/s。最大流量20m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/s，一般50~60m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/s。水流量受谏壁闸和林家闸控制，水位变化呈现夏涨冬落的规律，为市境内骨干河道之一。</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（2）九曲河</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原因河道弯曲故名，后裁弯取直。首起县城东运河口，穿铁路桥东流，经荆林、陵口、前艾、窦庄等乡镇至访仙，流向转东北，再经建山、新桥、后巷等乡镇，穿九曲河闸，于太平港口西约50 米处入长江。全长27.6 公里，流域面积226 平方公里，为市内沟通长江的骨干河道。</w:t>
      </w:r>
    </w:p>
    <w:p>
      <w:pPr>
        <w:spacing w:line="360" w:lineRule="auto"/>
        <w:ind w:firstLine="560" w:firstLineChars="200"/>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sz w:val="28"/>
          <w:szCs w:val="28"/>
        </w:rPr>
        <w:t>项目区域附近水系概图见</w:t>
      </w:r>
      <w:r>
        <w:rPr>
          <w:rFonts w:hint="eastAsia" w:asciiTheme="minorEastAsia" w:hAnsiTheme="minorEastAsia" w:eastAsiaTheme="minorEastAsia" w:cstheme="minorEastAsia"/>
          <w:color w:val="auto"/>
          <w:sz w:val="28"/>
          <w:szCs w:val="28"/>
          <w:highlight w:val="none"/>
        </w:rPr>
        <w:t>图4。</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3.1.5生态环境概况</w:t>
      </w:r>
      <w:bookmarkEnd w:id="58"/>
    </w:p>
    <w:p>
      <w:pPr>
        <w:spacing w:line="360" w:lineRule="auto"/>
        <w:ind w:firstLine="560" w:firstLineChars="200"/>
        <w:rPr>
          <w:rFonts w:hint="eastAsia" w:asciiTheme="minorEastAsia" w:hAnsiTheme="minorEastAsia" w:eastAsiaTheme="minorEastAsia" w:cstheme="minorEastAsia"/>
          <w:sz w:val="28"/>
          <w:szCs w:val="28"/>
        </w:rPr>
      </w:pPr>
      <w:bookmarkStart w:id="59" w:name="_Toc146436338"/>
      <w:r>
        <w:rPr>
          <w:rFonts w:hint="eastAsia" w:asciiTheme="minorEastAsia" w:hAnsiTheme="minorEastAsia" w:eastAsiaTheme="minorEastAsia" w:cstheme="minorEastAsia"/>
          <w:sz w:val="28"/>
          <w:szCs w:val="28"/>
        </w:rPr>
        <w:t>（1）陆生生态</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所在地区属北亚热带季风气候的温暖地带，光、热、水资源较丰富，宜于多种作物的生长繁育。低山丘陵地带以黄棕壤为主，平原地带以水稻土为主。天然植被主要是落叶、常绿阔叶混交林，落叶阔叶树有麻栎、黄连木、山槐、枫杨等；常绿阔叶树有青冈栎、苦赭、石楠等。但因人类活动的影响，原生植被已残留甚少，现有的是人工栽培的用材林、薪炭林、各种经济林和大片的农田植被。全市鸟类100多种。其它野生动物20多种。</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（2）水生生态</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价区内鱼类资源丰富，青草鱼、鲢鳙鱼、鲤鲫等淡水鱼类和鳇、鲶、鳝等非人工养殖鱼类均有大量产出。境内长江鱼类有90多种，其中刀鱼、鲥鱼、鳗鱼、河豚是名贵的鱼类；白鳍豚、中华鲟是我国珍稀动物，其溯河回游经过该地长江水域。</w:t>
      </w:r>
    </w:p>
    <w:p>
      <w:pPr>
        <w:pStyle w:val="30"/>
        <w:spacing w:before="120" w:after="120"/>
        <w:rPr>
          <w:rFonts w:hint="eastAsia" w:asciiTheme="minorEastAsia" w:hAnsiTheme="minorEastAsia" w:eastAsiaTheme="minorEastAsia" w:cstheme="minorEastAsia"/>
        </w:rPr>
      </w:pPr>
      <w:bookmarkStart w:id="60" w:name="_Toc224440833"/>
      <w:bookmarkStart w:id="61" w:name="_Toc19952"/>
      <w:r>
        <w:rPr>
          <w:rFonts w:hint="eastAsia" w:asciiTheme="minorEastAsia" w:hAnsiTheme="minorEastAsia" w:eastAsiaTheme="minorEastAsia" w:cstheme="minorEastAsia"/>
        </w:rPr>
        <w:t>3.2 社会环境</w:t>
      </w:r>
      <w:bookmarkEnd w:id="59"/>
      <w:bookmarkEnd w:id="60"/>
      <w:r>
        <w:rPr>
          <w:rFonts w:hint="eastAsia" w:asciiTheme="minorEastAsia" w:hAnsiTheme="minorEastAsia" w:eastAsiaTheme="minorEastAsia" w:cstheme="minorEastAsia"/>
        </w:rPr>
        <w:t>概况</w:t>
      </w:r>
      <w:bookmarkEnd w:id="61"/>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丹阳市全市总面积1059平方公里，户籍人口81.2万人，下辖10个镇（司徒镇、延陵镇、珥陵镇、导墅镇、皇塘镇、吕城镇、陵口镇、访仙镇、丹北镇、界牌镇），2个街道办事处（云阳街道办事处、曲阿街道办事处），一个省级经济技术开发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2015年全市实现地区生产总值1070.45亿元，公共财政预算收入67.07亿元。全年完成规模以上工业销售2487.8亿元，工业增加值601.67亿元，工业利税223.51亿元，累计工业用电52.22亿度。传统产业产品技术含量和附加值不断提升，新兴产业快速增长，高端装备制造、新材料等五大新兴产业规模不断壮大，新兴产业销售收入占规模工业销售比重达40.3%。企业上市工作取得重大突破，到“十二五”末，上市挂牌企业总数达40家，其中国内主板4家，国外市场4家，新三版7家，天交所2家，上海股权托管交易中心Q板23家，全市上市工作处于全省县级市前列。成为江苏省首家“军民结合产业示范基地”、“国家新型工业化产业示范基地（军民结合）”，综合实力百强县排名第20位，工业百强县排名第28位。</w:t>
      </w:r>
    </w:p>
    <w:p>
      <w:pPr>
        <w:pStyle w:val="30"/>
        <w:spacing w:before="120" w:after="120"/>
        <w:rPr>
          <w:rFonts w:hint="eastAsia" w:asciiTheme="minorEastAsia" w:hAnsiTheme="minorEastAsia" w:eastAsiaTheme="minorEastAsia" w:cstheme="minorEastAsia"/>
        </w:rPr>
      </w:pPr>
      <w:bookmarkStart w:id="62" w:name="_Toc17425"/>
      <w:r>
        <w:rPr>
          <w:rFonts w:hint="eastAsia" w:asciiTheme="minorEastAsia" w:hAnsiTheme="minorEastAsia" w:eastAsiaTheme="minorEastAsia" w:cstheme="minorEastAsia"/>
        </w:rPr>
        <w:t>3.3环境功能区划</w:t>
      </w:r>
      <w:bookmarkEnd w:id="62"/>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（1）本项目所在地空气功能区为《环境空气质量标准》（GB3095-2012）中规定的二类区，执行二级标准。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（2）根据《江苏省地表水环境功能区划》，京杭运河水质执行《地表水环境质量标准》（GB3838-2002）Ⅳ类标准，九曲河执行GB3838-2002中Ⅲ类标准。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（3）根据镇江市声环境功能区划，并考虑到项目所在区域属</w:t>
      </w:r>
      <w:r>
        <w:rPr>
          <w:rFonts w:hint="eastAsia" w:asciiTheme="minorEastAsia" w:hAnsiTheme="minorEastAsia" w:eastAsiaTheme="minorEastAsia" w:cstheme="minorEastAsia"/>
          <w:sz w:val="28"/>
          <w:szCs w:val="28"/>
          <w:lang w:val="en-US" w:eastAsia="zh-CN"/>
        </w:rPr>
        <w:t>工业园区</w:t>
      </w:r>
      <w:r>
        <w:rPr>
          <w:rFonts w:hint="eastAsia" w:asciiTheme="minorEastAsia" w:hAnsiTheme="minorEastAsia" w:eastAsiaTheme="minorEastAsia" w:cstheme="minorEastAsia"/>
          <w:sz w:val="28"/>
          <w:szCs w:val="28"/>
        </w:rPr>
        <w:t>，因此区域环境噪声应达《声环境质量标准》（GB3096-2008）</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类标准。</w:t>
      </w:r>
    </w:p>
    <w:p>
      <w:pPr>
        <w:pStyle w:val="30"/>
        <w:spacing w:before="120" w:after="120"/>
        <w:rPr>
          <w:rFonts w:hint="eastAsia" w:asciiTheme="minorEastAsia" w:hAnsiTheme="minorEastAsia" w:eastAsiaTheme="minorEastAsia" w:cstheme="minorEastAsia"/>
        </w:rPr>
      </w:pPr>
      <w:bookmarkStart w:id="63" w:name="_Toc16012"/>
      <w:r>
        <w:rPr>
          <w:rFonts w:hint="eastAsia" w:asciiTheme="minorEastAsia" w:hAnsiTheme="minorEastAsia" w:eastAsiaTheme="minorEastAsia" w:cstheme="minorEastAsia"/>
        </w:rPr>
        <w:t>3.4区域环境质量概况</w:t>
      </w:r>
      <w:bookmarkEnd w:id="63"/>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3.4.1大气环境状况</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（1）环境空气质量</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丹阳市市区2014 年环境空气质量与2013 年相比基本持平，二氧化氮、硫酸盐速率较2013 年有所下降，可吸入颗粒物、降尘浓度较2013 年均上升，降水中酸雨频率较上年下降明显。</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（2）酸雨和降尘</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2014 年市区降水pH 值在5.24~6.46 之间，pH 年均值为5.76，与2013 年降水pH 平均值5.00 相比，降水酸性有所下降；酸雨频率2013年的42%下降为2014 年酸雨频率为26%，说明丹阳市降水酸雨程度明显好转，但仍不容乐观。建成区自然降尘量9.7 吨/平方公里·月，与2013 年9.4 吨/平方公里·月相比，降尘量污染程度加重。</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3.4.2 水环境状况</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京杭运河丹阳段：王家桥、吕城断面水质符合《地表水环境质量标准》（GB3838-2002）Ⅲ类标准，宝塔湾、练湖砖瓦厂、人民桥断面水体水质符合《地表水环境质量标准》（GB3838-2002）Ⅳ类标准，主要污染因子为氨氮、溶解氧、总磷、阴离子表面活性剂、五日生化需氧量。2014 年京杭运河丹阳段各监测断面水质与2013 年相比有所好转。</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九曲河：林家闸断面水质符合《地表水环境质量标准》（GB3838-2002）Ⅱ类标准，访仙桥断面水质符合《地表水环境质量标准》（GB3838-2002）Ⅲ类标准，翻水站断面水质符合《地表水环境质量标准》（GB3838-2002）Ⅳ类标准，石油类、氨氮、总磷、粪大肠菌群、阴离子表面活性剂是九曲河主要污染因子。2014 年九曲河访仙桥和翻水站断面水质较2013 年得到好转，林家闸断面水质较2013 年有所下降。</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（3）饮用水源水质</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丹阳市城区饮用水由自来水公司供给，市水厂取口位于长江镇江段江心洲附近，2014 年供水能力为9000 万吨。</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2014 年黄岗取水口各监测项目对照地表水环境质量标准（GB3838-2002）Ⅲ类水质标准无超标，各项污染因子污染分担率比较平均，总体上水质良好。各项指标浓度较2013 年相比比较平稳。沿江黄岗水源保护区内污水排放规划已经显出成效。</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3.4.3 声环境状况</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年丹阳市区环境噪声平均值昼间为55.9dB(A)，较上年度下降了1.1dB(A)。2014 年区域声环境质量基本得到有效控制，呈现稳定良好态势，区域环境噪声质量得到提高。</w:t>
      </w:r>
    </w:p>
    <w:p>
      <w:pPr>
        <w:pStyle w:val="32"/>
        <w:spacing w:before="120" w:after="120"/>
        <w:rPr>
          <w:rFonts w:hint="eastAsia" w:asciiTheme="minorEastAsia" w:hAnsiTheme="minorEastAsia" w:eastAsiaTheme="minorEastAsia" w:cstheme="minorEastAsia"/>
          <w:snapToGrid w:val="0"/>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29"/>
        <w:spacing w:before="120" w:after="120"/>
        <w:jc w:val="center"/>
        <w:rPr>
          <w:rFonts w:hint="eastAsia" w:asciiTheme="minorEastAsia" w:hAnsiTheme="minorEastAsia" w:eastAsiaTheme="minorEastAsia" w:cstheme="minorEastAsia"/>
        </w:rPr>
      </w:pPr>
      <w:bookmarkStart w:id="64" w:name="_Toc19763"/>
      <w:r>
        <w:rPr>
          <w:rFonts w:hint="eastAsia" w:asciiTheme="minorEastAsia" w:hAnsiTheme="minorEastAsia" w:eastAsiaTheme="minorEastAsia" w:cstheme="minorEastAsia"/>
        </w:rPr>
        <w:t>第4章 环境空气影响</w:t>
      </w:r>
      <w:bookmarkEnd w:id="64"/>
    </w:p>
    <w:p>
      <w:pPr>
        <w:pStyle w:val="30"/>
        <w:spacing w:before="120" w:after="120"/>
        <w:rPr>
          <w:rFonts w:hint="eastAsia" w:asciiTheme="minorEastAsia" w:hAnsiTheme="minorEastAsia" w:eastAsiaTheme="minorEastAsia" w:cstheme="minorEastAsia"/>
        </w:rPr>
      </w:pPr>
      <w:bookmarkStart w:id="65" w:name="_Toc10470"/>
      <w:r>
        <w:rPr>
          <w:rFonts w:hint="eastAsia" w:asciiTheme="minorEastAsia" w:hAnsiTheme="minorEastAsia" w:eastAsiaTheme="minorEastAsia" w:cstheme="minorEastAsia"/>
        </w:rPr>
        <w:t>4.1环境空气质量现状评估</w:t>
      </w:r>
      <w:bookmarkEnd w:id="65"/>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根据丹阳市“十二五”环境质量报告书（大气环境），区域环境空气中SO</w:t>
      </w:r>
      <w:r>
        <w:rPr>
          <w:rFonts w:hint="eastAsia" w:asciiTheme="minorEastAsia" w:hAnsiTheme="minorEastAsia" w:eastAsiaTheme="minorEastAsia" w:cstheme="minorEastAsia"/>
          <w:kern w:val="0"/>
          <w:sz w:val="28"/>
          <w:szCs w:val="28"/>
          <w:vertAlign w:val="subscript"/>
        </w:rPr>
        <w:t>2</w:t>
      </w:r>
      <w:r>
        <w:rPr>
          <w:rFonts w:hint="eastAsia" w:asciiTheme="minorEastAsia" w:hAnsiTheme="minorEastAsia" w:eastAsiaTheme="minorEastAsia" w:cstheme="minorEastAsia"/>
          <w:kern w:val="0"/>
          <w:sz w:val="28"/>
          <w:szCs w:val="28"/>
        </w:rPr>
        <w:t>、NO</w:t>
      </w:r>
      <w:r>
        <w:rPr>
          <w:rFonts w:hint="eastAsia" w:asciiTheme="minorEastAsia" w:hAnsiTheme="minorEastAsia" w:eastAsiaTheme="minorEastAsia" w:cstheme="minorEastAsia"/>
          <w:kern w:val="0"/>
          <w:sz w:val="28"/>
          <w:szCs w:val="28"/>
          <w:vertAlign w:val="subscript"/>
        </w:rPr>
        <w:t>2</w:t>
      </w:r>
      <w:r>
        <w:rPr>
          <w:rFonts w:hint="eastAsia" w:asciiTheme="minorEastAsia" w:hAnsiTheme="minorEastAsia" w:eastAsiaTheme="minorEastAsia" w:cstheme="minorEastAsia"/>
          <w:kern w:val="0"/>
          <w:sz w:val="28"/>
          <w:szCs w:val="28"/>
        </w:rPr>
        <w:t>、PM</w:t>
      </w:r>
      <w:r>
        <w:rPr>
          <w:rFonts w:hint="eastAsia" w:asciiTheme="minorEastAsia" w:hAnsiTheme="minorEastAsia" w:eastAsiaTheme="minorEastAsia" w:cstheme="minorEastAsia"/>
          <w:kern w:val="0"/>
          <w:sz w:val="28"/>
          <w:szCs w:val="28"/>
          <w:vertAlign w:val="subscript"/>
        </w:rPr>
        <w:t>10</w:t>
      </w:r>
      <w:r>
        <w:rPr>
          <w:rFonts w:hint="eastAsia" w:asciiTheme="minorEastAsia" w:hAnsiTheme="minorEastAsia" w:eastAsiaTheme="minorEastAsia" w:cstheme="minorEastAsia"/>
          <w:kern w:val="0"/>
          <w:sz w:val="28"/>
          <w:szCs w:val="28"/>
        </w:rPr>
        <w:t>的现状值达到《环境空气质量标准》（GB3095-2012）表1二级标准的相应要求，本项目区域环境空气质量较好，详见表4.1-1。</w:t>
      </w:r>
    </w:p>
    <w:p>
      <w:pPr>
        <w:snapToGrid w:val="0"/>
        <w:spacing w:line="360" w:lineRule="auto"/>
        <w:jc w:val="center"/>
        <w:rPr>
          <w:rFonts w:hAnsi="宋体"/>
          <w:sz w:val="28"/>
          <w:szCs w:val="28"/>
        </w:rPr>
      </w:pPr>
      <w:r>
        <w:rPr>
          <w:rFonts w:hAnsi="宋体"/>
          <w:sz w:val="28"/>
          <w:szCs w:val="28"/>
        </w:rPr>
        <w:t>表4.1-1  环境空气质量现状监测统计结果  单位：mg/m</w:t>
      </w:r>
      <w:r>
        <w:rPr>
          <w:rFonts w:hAnsi="宋体"/>
          <w:sz w:val="28"/>
          <w:szCs w:val="28"/>
          <w:vertAlign w:val="superscript"/>
        </w:rPr>
        <w:t>3</w:t>
      </w:r>
    </w:p>
    <w:tbl>
      <w:tblPr>
        <w:tblStyle w:val="20"/>
        <w:tblW w:w="86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368"/>
        <w:gridCol w:w="1804"/>
        <w:gridCol w:w="189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3030" w:type="dxa"/>
            <w:gridSpan w:val="2"/>
            <w:vAlign w:val="center"/>
          </w:tcPr>
          <w:p>
            <w:pPr>
              <w:adjustRightInd w:val="0"/>
              <w:snapToGrid w:val="0"/>
              <w:jc w:val="center"/>
              <w:rPr>
                <w:sz w:val="24"/>
              </w:rPr>
            </w:pPr>
            <w:r>
              <w:rPr>
                <w:rFonts w:hAnsi="宋体"/>
                <w:sz w:val="24"/>
              </w:rPr>
              <w:t>项目</w:t>
            </w:r>
          </w:p>
        </w:tc>
        <w:tc>
          <w:tcPr>
            <w:tcW w:w="1804" w:type="dxa"/>
            <w:vAlign w:val="center"/>
          </w:tcPr>
          <w:p>
            <w:pPr>
              <w:adjustRightInd w:val="0"/>
              <w:snapToGrid w:val="0"/>
              <w:jc w:val="center"/>
              <w:rPr>
                <w:sz w:val="24"/>
              </w:rPr>
            </w:pPr>
            <w:r>
              <w:rPr>
                <w:sz w:val="24"/>
              </w:rPr>
              <w:t>SO</w:t>
            </w:r>
            <w:r>
              <w:rPr>
                <w:sz w:val="24"/>
                <w:vertAlign w:val="subscript"/>
              </w:rPr>
              <w:t>2</w:t>
            </w:r>
          </w:p>
        </w:tc>
        <w:tc>
          <w:tcPr>
            <w:tcW w:w="1891" w:type="dxa"/>
            <w:vAlign w:val="center"/>
          </w:tcPr>
          <w:p>
            <w:pPr>
              <w:adjustRightInd w:val="0"/>
              <w:snapToGrid w:val="0"/>
              <w:jc w:val="center"/>
              <w:rPr>
                <w:sz w:val="24"/>
              </w:rPr>
            </w:pPr>
            <w:r>
              <w:rPr>
                <w:sz w:val="24"/>
              </w:rPr>
              <w:t>NO</w:t>
            </w:r>
            <w:r>
              <w:rPr>
                <w:sz w:val="24"/>
                <w:vertAlign w:val="subscript"/>
              </w:rPr>
              <w:t>2</w:t>
            </w:r>
          </w:p>
        </w:tc>
        <w:tc>
          <w:tcPr>
            <w:tcW w:w="1888" w:type="dxa"/>
            <w:vAlign w:val="center"/>
          </w:tcPr>
          <w:p>
            <w:pPr>
              <w:adjustRightInd w:val="0"/>
              <w:snapToGrid w:val="0"/>
              <w:jc w:val="center"/>
              <w:rPr>
                <w:sz w:val="24"/>
              </w:rPr>
            </w:pPr>
            <w:r>
              <w:rPr>
                <w:sz w:val="24"/>
              </w:rPr>
              <w:t>PM</w:t>
            </w:r>
            <w:r>
              <w:rPr>
                <w:sz w:val="24"/>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62" w:type="dxa"/>
            <w:vMerge w:val="restart"/>
            <w:vAlign w:val="center"/>
          </w:tcPr>
          <w:p>
            <w:pPr>
              <w:adjustRightInd w:val="0"/>
              <w:snapToGrid w:val="0"/>
              <w:jc w:val="center"/>
              <w:rPr>
                <w:sz w:val="24"/>
              </w:rPr>
            </w:pPr>
            <w:r>
              <w:rPr>
                <w:sz w:val="24"/>
              </w:rPr>
              <w:t>1</w:t>
            </w:r>
            <w:r>
              <w:rPr>
                <w:rFonts w:hAnsi="宋体"/>
                <w:sz w:val="24"/>
              </w:rPr>
              <w:t>小时平均</w:t>
            </w:r>
          </w:p>
        </w:tc>
        <w:tc>
          <w:tcPr>
            <w:tcW w:w="1368" w:type="dxa"/>
            <w:vAlign w:val="center"/>
          </w:tcPr>
          <w:p>
            <w:pPr>
              <w:adjustRightInd w:val="0"/>
              <w:snapToGrid w:val="0"/>
              <w:jc w:val="center"/>
              <w:rPr>
                <w:sz w:val="24"/>
              </w:rPr>
            </w:pPr>
            <w:r>
              <w:rPr>
                <w:rFonts w:hAnsi="宋体"/>
                <w:sz w:val="24"/>
              </w:rPr>
              <w:t>监测结果</w:t>
            </w:r>
          </w:p>
        </w:tc>
        <w:tc>
          <w:tcPr>
            <w:tcW w:w="1804" w:type="dxa"/>
            <w:vAlign w:val="center"/>
          </w:tcPr>
          <w:p>
            <w:pPr>
              <w:adjustRightInd w:val="0"/>
              <w:snapToGrid w:val="0"/>
              <w:jc w:val="center"/>
              <w:rPr>
                <w:sz w:val="24"/>
              </w:rPr>
            </w:pPr>
            <w:r>
              <w:rPr>
                <w:sz w:val="24"/>
              </w:rPr>
              <w:t>0.006~0.010</w:t>
            </w:r>
          </w:p>
        </w:tc>
        <w:tc>
          <w:tcPr>
            <w:tcW w:w="1891" w:type="dxa"/>
            <w:vAlign w:val="center"/>
          </w:tcPr>
          <w:p>
            <w:pPr>
              <w:adjustRightInd w:val="0"/>
              <w:snapToGrid w:val="0"/>
              <w:jc w:val="center"/>
              <w:rPr>
                <w:sz w:val="24"/>
              </w:rPr>
            </w:pPr>
            <w:r>
              <w:rPr>
                <w:sz w:val="24"/>
              </w:rPr>
              <w:t>0.013~0.022</w:t>
            </w:r>
          </w:p>
        </w:tc>
        <w:tc>
          <w:tcPr>
            <w:tcW w:w="1888" w:type="dxa"/>
            <w:vAlign w:val="center"/>
          </w:tcPr>
          <w:p>
            <w:pPr>
              <w:adjustRightInd w:val="0"/>
              <w:snapToGrid w:val="0"/>
              <w:jc w:val="center"/>
              <w:rPr>
                <w:sz w:val="24"/>
              </w:rPr>
            </w:pPr>
            <w:r>
              <w:rPr>
                <w:sz w:val="24"/>
              </w:rPr>
              <w:t>0.028~0.121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62" w:type="dxa"/>
            <w:vMerge w:val="continue"/>
            <w:vAlign w:val="center"/>
          </w:tcPr>
          <w:p>
            <w:pPr>
              <w:adjustRightInd w:val="0"/>
              <w:snapToGrid w:val="0"/>
              <w:jc w:val="center"/>
              <w:rPr>
                <w:sz w:val="24"/>
              </w:rPr>
            </w:pPr>
          </w:p>
        </w:tc>
        <w:tc>
          <w:tcPr>
            <w:tcW w:w="1368" w:type="dxa"/>
            <w:vAlign w:val="center"/>
          </w:tcPr>
          <w:p>
            <w:pPr>
              <w:adjustRightInd w:val="0"/>
              <w:snapToGrid w:val="0"/>
              <w:jc w:val="center"/>
              <w:rPr>
                <w:sz w:val="24"/>
              </w:rPr>
            </w:pPr>
            <w:r>
              <w:rPr>
                <w:rFonts w:hAnsi="宋体"/>
                <w:sz w:val="24"/>
              </w:rPr>
              <w:t>评价标准</w:t>
            </w:r>
          </w:p>
        </w:tc>
        <w:tc>
          <w:tcPr>
            <w:tcW w:w="1804" w:type="dxa"/>
            <w:vAlign w:val="center"/>
          </w:tcPr>
          <w:p>
            <w:pPr>
              <w:adjustRightInd w:val="0"/>
              <w:snapToGrid w:val="0"/>
              <w:jc w:val="center"/>
              <w:rPr>
                <w:sz w:val="24"/>
              </w:rPr>
            </w:pPr>
            <w:r>
              <w:rPr>
                <w:sz w:val="24"/>
              </w:rPr>
              <w:t>0.5</w:t>
            </w:r>
          </w:p>
        </w:tc>
        <w:tc>
          <w:tcPr>
            <w:tcW w:w="1891" w:type="dxa"/>
            <w:vAlign w:val="center"/>
          </w:tcPr>
          <w:p>
            <w:pPr>
              <w:adjustRightInd w:val="0"/>
              <w:snapToGrid w:val="0"/>
              <w:jc w:val="center"/>
              <w:rPr>
                <w:sz w:val="24"/>
              </w:rPr>
            </w:pPr>
            <w:r>
              <w:rPr>
                <w:sz w:val="24"/>
              </w:rPr>
              <w:t>0.2</w:t>
            </w:r>
          </w:p>
        </w:tc>
        <w:tc>
          <w:tcPr>
            <w:tcW w:w="1888" w:type="dxa"/>
            <w:vAlign w:val="center"/>
          </w:tcPr>
          <w:p>
            <w:pPr>
              <w:adjustRightInd w:val="0"/>
              <w:snapToGrid w:val="0"/>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662" w:type="dxa"/>
            <w:vMerge w:val="restart"/>
            <w:vAlign w:val="center"/>
          </w:tcPr>
          <w:p>
            <w:pPr>
              <w:adjustRightInd w:val="0"/>
              <w:snapToGrid w:val="0"/>
              <w:jc w:val="center"/>
              <w:rPr>
                <w:sz w:val="24"/>
              </w:rPr>
            </w:pPr>
            <w:r>
              <w:rPr>
                <w:sz w:val="24"/>
              </w:rPr>
              <w:t>24</w:t>
            </w:r>
            <w:r>
              <w:rPr>
                <w:rFonts w:hAnsi="宋体"/>
                <w:sz w:val="24"/>
              </w:rPr>
              <w:t>小时平均</w:t>
            </w:r>
          </w:p>
        </w:tc>
        <w:tc>
          <w:tcPr>
            <w:tcW w:w="1368" w:type="dxa"/>
            <w:vAlign w:val="center"/>
          </w:tcPr>
          <w:p>
            <w:pPr>
              <w:adjustRightInd w:val="0"/>
              <w:snapToGrid w:val="0"/>
              <w:jc w:val="center"/>
              <w:rPr>
                <w:sz w:val="24"/>
              </w:rPr>
            </w:pPr>
            <w:r>
              <w:rPr>
                <w:rFonts w:hAnsi="宋体"/>
                <w:sz w:val="24"/>
              </w:rPr>
              <w:t>监测结果</w:t>
            </w:r>
          </w:p>
        </w:tc>
        <w:tc>
          <w:tcPr>
            <w:tcW w:w="1804" w:type="dxa"/>
            <w:vAlign w:val="center"/>
          </w:tcPr>
          <w:p>
            <w:pPr>
              <w:adjustRightInd w:val="0"/>
              <w:snapToGrid w:val="0"/>
              <w:jc w:val="center"/>
              <w:rPr>
                <w:sz w:val="24"/>
              </w:rPr>
            </w:pPr>
            <w:r>
              <w:rPr>
                <w:sz w:val="24"/>
              </w:rPr>
              <w:t>0.007</w:t>
            </w:r>
          </w:p>
        </w:tc>
        <w:tc>
          <w:tcPr>
            <w:tcW w:w="1891" w:type="dxa"/>
            <w:vAlign w:val="center"/>
          </w:tcPr>
          <w:p>
            <w:pPr>
              <w:adjustRightInd w:val="0"/>
              <w:snapToGrid w:val="0"/>
              <w:jc w:val="center"/>
              <w:rPr>
                <w:sz w:val="24"/>
              </w:rPr>
            </w:pPr>
            <w:r>
              <w:rPr>
                <w:sz w:val="24"/>
              </w:rPr>
              <w:t>0.017</w:t>
            </w:r>
          </w:p>
        </w:tc>
        <w:tc>
          <w:tcPr>
            <w:tcW w:w="1888" w:type="dxa"/>
            <w:vAlign w:val="center"/>
          </w:tcPr>
          <w:p>
            <w:pPr>
              <w:adjustRightInd w:val="0"/>
              <w:snapToGrid w:val="0"/>
              <w:jc w:val="center"/>
              <w:rPr>
                <w:sz w:val="24"/>
              </w:rPr>
            </w:pPr>
            <w:r>
              <w:rPr>
                <w:sz w:val="24"/>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662" w:type="dxa"/>
            <w:vMerge w:val="continue"/>
            <w:vAlign w:val="center"/>
          </w:tcPr>
          <w:p>
            <w:pPr>
              <w:adjustRightInd w:val="0"/>
              <w:snapToGrid w:val="0"/>
              <w:jc w:val="center"/>
              <w:rPr>
                <w:sz w:val="24"/>
              </w:rPr>
            </w:pPr>
          </w:p>
        </w:tc>
        <w:tc>
          <w:tcPr>
            <w:tcW w:w="1368" w:type="dxa"/>
            <w:vAlign w:val="center"/>
          </w:tcPr>
          <w:p>
            <w:pPr>
              <w:adjustRightInd w:val="0"/>
              <w:snapToGrid w:val="0"/>
              <w:jc w:val="center"/>
              <w:rPr>
                <w:sz w:val="24"/>
              </w:rPr>
            </w:pPr>
            <w:r>
              <w:rPr>
                <w:rFonts w:hAnsi="宋体"/>
                <w:sz w:val="24"/>
              </w:rPr>
              <w:t>评价标准</w:t>
            </w:r>
          </w:p>
        </w:tc>
        <w:tc>
          <w:tcPr>
            <w:tcW w:w="1804" w:type="dxa"/>
            <w:vAlign w:val="center"/>
          </w:tcPr>
          <w:p>
            <w:pPr>
              <w:adjustRightInd w:val="0"/>
              <w:snapToGrid w:val="0"/>
              <w:jc w:val="center"/>
              <w:rPr>
                <w:sz w:val="24"/>
              </w:rPr>
            </w:pPr>
            <w:r>
              <w:rPr>
                <w:sz w:val="24"/>
              </w:rPr>
              <w:t>0.15</w:t>
            </w:r>
          </w:p>
        </w:tc>
        <w:tc>
          <w:tcPr>
            <w:tcW w:w="1891" w:type="dxa"/>
            <w:vAlign w:val="center"/>
          </w:tcPr>
          <w:p>
            <w:pPr>
              <w:adjustRightInd w:val="0"/>
              <w:snapToGrid w:val="0"/>
              <w:jc w:val="center"/>
              <w:rPr>
                <w:sz w:val="24"/>
              </w:rPr>
            </w:pPr>
            <w:r>
              <w:rPr>
                <w:sz w:val="24"/>
              </w:rPr>
              <w:t>0.08</w:t>
            </w:r>
          </w:p>
        </w:tc>
        <w:tc>
          <w:tcPr>
            <w:tcW w:w="1888" w:type="dxa"/>
            <w:vAlign w:val="center"/>
          </w:tcPr>
          <w:p>
            <w:pPr>
              <w:adjustRightInd w:val="0"/>
              <w:snapToGrid w:val="0"/>
              <w:jc w:val="center"/>
              <w:rPr>
                <w:sz w:val="24"/>
              </w:rPr>
            </w:pPr>
            <w:r>
              <w:rPr>
                <w:sz w:val="24"/>
              </w:rPr>
              <w:t>0.15</w:t>
            </w:r>
          </w:p>
        </w:tc>
      </w:tr>
    </w:tbl>
    <w:p>
      <w:pPr>
        <w:pStyle w:val="30"/>
        <w:spacing w:before="120" w:after="120"/>
        <w:rPr>
          <w:rFonts w:hint="eastAsia" w:asciiTheme="minorEastAsia" w:hAnsiTheme="minorEastAsia" w:eastAsiaTheme="minorEastAsia" w:cstheme="minorEastAsia"/>
        </w:rPr>
      </w:pPr>
      <w:bookmarkStart w:id="66" w:name="_Toc14596"/>
      <w:r>
        <w:rPr>
          <w:rFonts w:hint="eastAsia" w:asciiTheme="minorEastAsia" w:hAnsiTheme="minorEastAsia" w:eastAsiaTheme="minorEastAsia" w:cstheme="minorEastAsia"/>
        </w:rPr>
        <w:t>4.2 污染气象特征分析</w:t>
      </w:r>
      <w:bookmarkEnd w:id="66"/>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通过对丹阳市气象站历年气象观测资料的统计分析，其主要的气象要素的统计分析结果如4.2-1所示。</w:t>
      </w: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表4.2-1 丹阳市基本气象要素统计</w:t>
      </w:r>
    </w:p>
    <w:tbl>
      <w:tblPr>
        <w:tblStyle w:val="20"/>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532"/>
        <w:gridCol w:w="532"/>
        <w:gridCol w:w="518"/>
        <w:gridCol w:w="546"/>
        <w:gridCol w:w="532"/>
        <w:gridCol w:w="602"/>
        <w:gridCol w:w="588"/>
        <w:gridCol w:w="601"/>
        <w:gridCol w:w="588"/>
        <w:gridCol w:w="532"/>
        <w:gridCol w:w="574"/>
        <w:gridCol w:w="665"/>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55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月     份</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w:t>
            </w:r>
          </w:p>
        </w:tc>
        <w:tc>
          <w:tcPr>
            <w:tcW w:w="51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w:t>
            </w:r>
          </w:p>
        </w:tc>
        <w:tc>
          <w:tcPr>
            <w:tcW w:w="546"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4</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5</w:t>
            </w:r>
          </w:p>
        </w:tc>
        <w:tc>
          <w:tcPr>
            <w:tcW w:w="60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6</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7</w:t>
            </w:r>
          </w:p>
        </w:tc>
        <w:tc>
          <w:tcPr>
            <w:tcW w:w="601"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8</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9</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10</w:t>
            </w:r>
          </w:p>
        </w:tc>
        <w:tc>
          <w:tcPr>
            <w:tcW w:w="57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11</w:t>
            </w:r>
          </w:p>
        </w:tc>
        <w:tc>
          <w:tcPr>
            <w:tcW w:w="665"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12</w:t>
            </w:r>
          </w:p>
        </w:tc>
        <w:tc>
          <w:tcPr>
            <w:tcW w:w="70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55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平均气温（℃）</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2.0</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3.6</w:t>
            </w:r>
          </w:p>
        </w:tc>
        <w:tc>
          <w:tcPr>
            <w:tcW w:w="51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7.9</w:t>
            </w:r>
          </w:p>
        </w:tc>
        <w:tc>
          <w:tcPr>
            <w:tcW w:w="546"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14.0</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19.3</w:t>
            </w:r>
          </w:p>
        </w:tc>
        <w:tc>
          <w:tcPr>
            <w:tcW w:w="60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23.9</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27.7</w:t>
            </w:r>
          </w:p>
        </w:tc>
        <w:tc>
          <w:tcPr>
            <w:tcW w:w="601"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27.0</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22.3</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16.6</w:t>
            </w:r>
          </w:p>
        </w:tc>
        <w:tc>
          <w:tcPr>
            <w:tcW w:w="57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10.4</w:t>
            </w:r>
          </w:p>
        </w:tc>
        <w:tc>
          <w:tcPr>
            <w:tcW w:w="665"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4.4</w:t>
            </w:r>
          </w:p>
        </w:tc>
        <w:tc>
          <w:tcPr>
            <w:tcW w:w="70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55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平均降水量（mm）</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30.3</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48.5</w:t>
            </w:r>
          </w:p>
        </w:tc>
        <w:tc>
          <w:tcPr>
            <w:tcW w:w="51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76.3</w:t>
            </w:r>
          </w:p>
        </w:tc>
        <w:tc>
          <w:tcPr>
            <w:tcW w:w="546"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91.7</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92.9</w:t>
            </w:r>
          </w:p>
        </w:tc>
        <w:tc>
          <w:tcPr>
            <w:tcW w:w="60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161.4</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181.1</w:t>
            </w:r>
          </w:p>
        </w:tc>
        <w:tc>
          <w:tcPr>
            <w:tcW w:w="601"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128.9</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110.6</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56.3</w:t>
            </w:r>
          </w:p>
        </w:tc>
        <w:tc>
          <w:tcPr>
            <w:tcW w:w="57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53.4</w:t>
            </w:r>
          </w:p>
        </w:tc>
        <w:tc>
          <w:tcPr>
            <w:tcW w:w="665"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27.8</w:t>
            </w:r>
          </w:p>
        </w:tc>
        <w:tc>
          <w:tcPr>
            <w:tcW w:w="70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1059.1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55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1日最大降水量（mm）</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29.6</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35.2</w:t>
            </w:r>
          </w:p>
        </w:tc>
        <w:tc>
          <w:tcPr>
            <w:tcW w:w="51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73.6</w:t>
            </w:r>
          </w:p>
        </w:tc>
        <w:tc>
          <w:tcPr>
            <w:tcW w:w="546"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71.9</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77.7</w:t>
            </w:r>
          </w:p>
        </w:tc>
        <w:tc>
          <w:tcPr>
            <w:tcW w:w="60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165.9</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190.1</w:t>
            </w:r>
          </w:p>
        </w:tc>
        <w:tc>
          <w:tcPr>
            <w:tcW w:w="601"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234.3</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168.7</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55.6</w:t>
            </w:r>
          </w:p>
        </w:tc>
        <w:tc>
          <w:tcPr>
            <w:tcW w:w="57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65.7</w:t>
            </w:r>
          </w:p>
        </w:tc>
        <w:tc>
          <w:tcPr>
            <w:tcW w:w="665"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33.1</w:t>
            </w:r>
          </w:p>
        </w:tc>
        <w:tc>
          <w:tcPr>
            <w:tcW w:w="70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55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平均风速（m/s）</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2.8</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3.0</w:t>
            </w:r>
          </w:p>
        </w:tc>
        <w:tc>
          <w:tcPr>
            <w:tcW w:w="51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3.4</w:t>
            </w:r>
          </w:p>
        </w:tc>
        <w:tc>
          <w:tcPr>
            <w:tcW w:w="546"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3.3</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3.1</w:t>
            </w:r>
          </w:p>
        </w:tc>
        <w:tc>
          <w:tcPr>
            <w:tcW w:w="60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3.1</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2.9</w:t>
            </w:r>
          </w:p>
        </w:tc>
        <w:tc>
          <w:tcPr>
            <w:tcW w:w="601"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2.9</w:t>
            </w:r>
          </w:p>
        </w:tc>
        <w:tc>
          <w:tcPr>
            <w:tcW w:w="58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2.7</w:t>
            </w:r>
          </w:p>
        </w:tc>
        <w:tc>
          <w:tcPr>
            <w:tcW w:w="532"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2.6</w:t>
            </w:r>
          </w:p>
        </w:tc>
        <w:tc>
          <w:tcPr>
            <w:tcW w:w="574"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2.6</w:t>
            </w:r>
          </w:p>
        </w:tc>
        <w:tc>
          <w:tcPr>
            <w:tcW w:w="665"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2.6</w:t>
            </w:r>
          </w:p>
        </w:tc>
        <w:tc>
          <w:tcPr>
            <w:tcW w:w="708" w:type="dxa"/>
            <w:tcMar>
              <w:left w:w="28" w:type="dxa"/>
              <w:right w:w="28" w:type="dxa"/>
            </w:tcMar>
            <w:vAlign w:val="center"/>
          </w:tcPr>
          <w:p>
            <w:pPr>
              <w:snapToGrid w:val="0"/>
              <w:jc w:val="center"/>
              <w:rPr>
                <w:rFonts w:hint="eastAsia" w:asciiTheme="minorEastAsia" w:hAnsiTheme="minorEastAsia" w:eastAsiaTheme="minorEastAsia" w:cstheme="minorEastAsia"/>
                <w:spacing w:val="-8"/>
                <w:w w:val="90"/>
                <w:szCs w:val="21"/>
              </w:rPr>
            </w:pPr>
            <w:r>
              <w:rPr>
                <w:rFonts w:hint="eastAsia" w:asciiTheme="minorEastAsia" w:hAnsiTheme="minorEastAsia" w:eastAsiaTheme="minorEastAsia" w:cstheme="minorEastAsia"/>
                <w:spacing w:val="-8"/>
                <w:w w:val="90"/>
                <w:szCs w:val="21"/>
              </w:rPr>
              <w:t>2.9</w:t>
            </w:r>
          </w:p>
        </w:tc>
      </w:tr>
    </w:tbl>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（1）温度</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年平均气温14.9℃，气温的年变化曲线见图4.2-1；最冷月为一月份，月平均气温2.0℃；最热月份为7月份，月平均气温27.7℃；极端最低气温为零下18.9℃，出现在1955年1月6日；极端最高气温为38.8℃，出现在1959年8月22日。丹阳气候处于亚热带与南温带的过渡性气候带中，温度曲线满足正态分布，但变化较为缓慢，2－7月温度逐月变率基本一致，温度逐月升高，7－8月份温度变率最小，8－12月份温度变率为负值且逐月变率基本一致。</w:t>
      </w:r>
    </w:p>
    <w:p>
      <w:pPr>
        <w:snapToGrid w:val="0"/>
        <w:spacing w:line="36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pict>
          <v:shape id="_x0000_i1025" o:spt="75" type="#_x0000_t75" style="height:174.75pt;width:411pt;" filled="f" o:preferrelative="t" stroked="f" coordsize="21600,21600">
            <v:path/>
            <v:fill on="f" focussize="0,0"/>
            <v:stroke on="f" joinstyle="miter"/>
            <v:imagedata r:id="rId10" cropleft="-6947f" croptop="-10950f" cropright="-4600f" cropbottom="-4869f" o:title=""/>
            <o:lock v:ext="edit" aspectratio="f"/>
            <w10:wrap type="none"/>
            <w10:anchorlock/>
          </v:shape>
        </w:pict>
      </w:r>
    </w:p>
    <w:p>
      <w:pPr>
        <w:pStyle w:val="5"/>
        <w:spacing w:before="120" w:beforeLines="5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图4.2-1 丹阳市风速、气温年变化曲线</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（2）降水</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年平均降水量1059.1毫米；降水分布不均匀，降水量主要集中在春、夏、秋三个季节，占年总降水量90%，尤其以夏季降水量为最大，超过年总降水量的45%；此外，降水量的年际间也有很大的差别，最多年份降水量为1951.3毫米（1991）年，最少的年份仅为421.8毫米，两者相差4倍多；1日最大降水量为234.3毫米（1965年8月21日）。6月份的降水量为5月份降水量的1.7374倍，为增幅最大的月份，因为6月份梅雨已经开始发生，表现形式为多云、多雨、多雾、多雷暴天气，小雨、中雨、大雨、暴雨和特大暴雨相间出现，7月份上旬也为梅雨季节，下中旬夏季风最为强盛，冷暖空气交换频繁，多发生阵雨，7月份降水量达到鼎盛，7月份后副热带高压北移到华北地区，降水带北移，该地降水减少，9月份副热带高压南跳到华南，</w:t>
      </w:r>
      <w:r>
        <w:rPr>
          <w:rFonts w:hint="eastAsia" w:asciiTheme="minorEastAsia" w:hAnsiTheme="minorEastAsia" w:eastAsiaTheme="minorEastAsia" w:cstheme="minorEastAsia"/>
          <w:spacing w:val="-4"/>
          <w:kern w:val="0"/>
          <w:sz w:val="28"/>
          <w:szCs w:val="28"/>
        </w:rPr>
        <w:t>该地主要受华南弱暖空气影响，降水减少的较为剧烈，冬季降水量最少。</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（3）风向、风速</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年平均风速2.9m/s,风速的年变化曲线见图4.2-2；3月份风速最大为3.4m/s，3月份为初春季节，气旋活动频繁，风速较大；常年主导风向为东风，频率为10.6%，平均风速为3.3m/s；常年静风频率11.5%。冬季（一月）主导风向为东北风，频率为9.4%,春季风向特征和冬季类似；夏季(7月)主导风向为东南风，频率13.7%，秋季风向特征和夏季类似；冬季和夏季主导风向方向基本相反，因此该地具有非常明显的季风特征。该地最大风速20m/s，出现在1956年8月2日。风频玫瑰图及各种情况下的风频、风速、污染风系数见图4.2-2和表4.2-2。</w:t>
      </w:r>
    </w:p>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pict>
          <v:shape id="_x0000_i1026" o:spt="75" type="#_x0000_t75" style="height:165.75pt;width:170.25pt;" filled="f" o:preferrelative="t" stroked="f" coordsize="21600,21600">
            <v:path/>
            <v:fill on="f" focussize="0,0"/>
            <v:stroke on="f" joinstyle="miter"/>
            <v:imagedata r:id="rId11" cropleft="-4161f" croptop="-2153f" cropright="-4790f" cropbottom="-1605f" o:title=""/>
            <o:lock v:ext="edit" aspectratio="f"/>
            <w10:wrap type="none"/>
            <w10:anchorlock/>
          </v:shape>
        </w:pict>
      </w:r>
      <w:r>
        <w:rPr>
          <w:rFonts w:hint="eastAsia" w:asciiTheme="minorEastAsia" w:hAnsiTheme="minorEastAsia" w:eastAsiaTheme="minorEastAsia" w:cstheme="minorEastAsia"/>
          <w:sz w:val="24"/>
        </w:rPr>
        <w:pict>
          <v:shape id="_x0000_i1027" o:spt="75" type="#_x0000_t75" style="height:166.5pt;width:170.25pt;" filled="f" o:preferrelative="t" stroked="f" coordsize="21600,21600">
            <v:path/>
            <v:fill on="f" focussize="0,0"/>
            <v:stroke on="f" joinstyle="miter"/>
            <v:imagedata r:id="rId12" cropleft="-4161f" croptop="-2547f" cropright="-4790f" cropbottom="-1956f" o:title=""/>
            <o:lock v:ext="edit" aspectratio="f"/>
            <w10:wrap type="none"/>
            <w10:anchorlock/>
          </v:shape>
        </w:pict>
      </w:r>
    </w:p>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pict>
          <v:shape id="_x0000_i1028" o:spt="75" type="#_x0000_t75" style="height:169.5pt;width:170.25pt;" filled="f" o:preferrelative="t" stroked="f" coordsize="21600,21600">
            <v:path/>
            <v:fill on="f" focussize="0,0"/>
            <v:stroke on="f" joinstyle="miter"/>
            <v:imagedata r:id="rId13" cropleft="-4161f" croptop="-1950f" cropright="-4790f" cropbottom="-1524f" o:title=""/>
            <o:lock v:ext="edit" aspectratio="f"/>
            <w10:wrap type="none"/>
            <w10:anchorlock/>
          </v:shape>
        </w:pict>
      </w:r>
      <w:r>
        <w:rPr>
          <w:rFonts w:hint="eastAsia" w:asciiTheme="minorEastAsia" w:hAnsiTheme="minorEastAsia" w:eastAsiaTheme="minorEastAsia" w:cstheme="minorEastAsia"/>
          <w:sz w:val="24"/>
        </w:rPr>
        <w:pict>
          <v:shape id="_x0000_i1029" o:spt="75" type="#_x0000_t75" style="height:165pt;width:170.25pt;" filled="f" o:preferrelative="t" stroked="f" coordsize="21600,21600">
            <v:path/>
            <v:fill on="f" focussize="0,0"/>
            <v:stroke on="f" joinstyle="miter"/>
            <v:imagedata r:id="rId14" cropleft="-4161f" croptop="-975f" cropright="-4790f" cropbottom="-569f" o:title=""/>
            <o:lock v:ext="edit" aspectratio="f"/>
            <w10:wrap type="none"/>
            <w10:anchorlock/>
          </v:shape>
        </w:pict>
      </w:r>
    </w:p>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pict>
          <v:shape id="_x0000_i1030" o:spt="75" type="#_x0000_t75" style="height:165pt;width:170.25pt;" filled="f" o:preferrelative="t" stroked="f" coordsize="21600,21600">
            <v:path/>
            <v:fill on="f" focussize="0,0"/>
            <v:stroke on="f" joinstyle="miter"/>
            <v:imagedata r:id="rId15" cropleft="-4161f" croptop="-975f" cropright="-4790f" cropbottom="-569f" o:title=""/>
            <o:lock v:ext="edit" aspectratio="f"/>
            <w10:wrap type="none"/>
            <w10:anchorlock/>
          </v:shape>
        </w:pict>
      </w:r>
    </w:p>
    <w:p>
      <w:pPr>
        <w:pStyle w:val="5"/>
        <w:spacing w:before="120" w:beforeLines="5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图4.2-2 丹阳市风向频率玫瑰图</w:t>
      </w:r>
    </w:p>
    <w:p>
      <w:pPr>
        <w:snapToGrid w:val="0"/>
        <w:jc w:val="center"/>
        <w:rPr>
          <w:rFonts w:hint="eastAsia" w:asciiTheme="minorEastAsia" w:hAnsiTheme="minorEastAsia" w:eastAsiaTheme="minorEastAsia" w:cstheme="minorEastAsia"/>
          <w:b/>
          <w:sz w:val="24"/>
        </w:rPr>
      </w:pPr>
    </w:p>
    <w:p>
      <w:pPr>
        <w:pStyle w:val="5"/>
        <w:spacing w:before="120" w:beforeLines="5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表4.2-2 丹阳市风向频率及各风向下风速、污染系数统计表</w:t>
      </w:r>
    </w:p>
    <w:tbl>
      <w:tblPr>
        <w:tblStyle w:val="20"/>
        <w:tblW w:w="10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945"/>
        <w:gridCol w:w="469"/>
        <w:gridCol w:w="470"/>
        <w:gridCol w:w="470"/>
        <w:gridCol w:w="470"/>
        <w:gridCol w:w="620"/>
        <w:gridCol w:w="525"/>
        <w:gridCol w:w="630"/>
        <w:gridCol w:w="630"/>
        <w:gridCol w:w="469"/>
        <w:gridCol w:w="470"/>
        <w:gridCol w:w="470"/>
        <w:gridCol w:w="586"/>
        <w:gridCol w:w="470"/>
        <w:gridCol w:w="580"/>
        <w:gridCol w:w="470"/>
        <w:gridCol w:w="470"/>
        <w:gridCol w:w="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73" w:type="dxa"/>
            <w:gridSpan w:val="2"/>
            <w:vAlign w:val="center"/>
          </w:tcPr>
          <w:p>
            <w:pPr>
              <w:snapToGrid w:val="0"/>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pict>
                <v:line id="直线 2" o:spid="_x0000_s2267" o:spt="20" style="position:absolute;left:0pt;flip:x y;margin-left:-50.2pt;margin-top:-0.1pt;height:33.3pt;width:73.8pt;z-index:1024;mso-width-relative:page;mso-height-relative:page;" coordsize="21600,21600" o:allowincell="f">
                  <v:path arrowok="t"/>
                  <v:fill focussize="0,0"/>
                  <v:stroke weight="0.25pt"/>
                  <v:imagedata o:title=""/>
                  <o:lock v:ext="edit"/>
                  <w10:anchorlock/>
                </v:line>
              </w:pict>
            </w:r>
            <w:r>
              <w:rPr>
                <w:rFonts w:hint="eastAsia" w:asciiTheme="minorEastAsia" w:hAnsiTheme="minorEastAsia" w:eastAsiaTheme="minorEastAsia" w:cstheme="minorEastAsia"/>
                <w:sz w:val="18"/>
                <w:szCs w:val="18"/>
              </w:rPr>
              <w:t xml:space="preserve">                   风向</w:t>
            </w:r>
          </w:p>
          <w:p>
            <w:pPr>
              <w:snapToGrid w:val="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N</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NNE</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NE</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ENE</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E</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ESE</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SE</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SSE</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S</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SSW</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SW</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WSW</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W</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WNW</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NW</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NNW</w:t>
            </w:r>
          </w:p>
        </w:tc>
        <w:tc>
          <w:tcPr>
            <w:tcW w:w="551"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春季</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3.9</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4.1</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11.7</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13.4</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7.7</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0.5</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夏季</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9.7</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10.1</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6.6</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4.0</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0.3</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秋季</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9.0</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11.4</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7.2</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3.9</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1.9</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0.6</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冬季</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7.7</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7.5</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4.6</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4.9</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3.9</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6.1</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4.5</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02时</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8.7</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12.2</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4.3</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4.9</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1.8</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08时</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10.0</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8.3</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4.3</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4.3</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2.0</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1.5</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14时</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4.1</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4.6</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4.7</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4.3</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6.1</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8.7</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7.6</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10.9</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6.5</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4.2</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5.7</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5.7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4.7</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20时</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8.3</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12.1</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4.9</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1.8</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restart"/>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全年</w:t>
            </w: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风速</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3.3</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3.4</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3.5</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551" w:type="dxa"/>
            <w:vMerge w:val="restart"/>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风频</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7.3</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8.6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7.6</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10.6</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9.1</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9.7</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6.0</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3.6</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3.0</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28" w:type="dxa"/>
            <w:vMerge w:val="continue"/>
            <w:vAlign w:val="center"/>
          </w:tcPr>
          <w:p>
            <w:pPr>
              <w:snapToGrid w:val="0"/>
              <w:jc w:val="center"/>
              <w:rPr>
                <w:rFonts w:hint="eastAsia" w:asciiTheme="minorEastAsia" w:hAnsiTheme="minorEastAsia" w:eastAsiaTheme="minorEastAsia" w:cstheme="minorEastAsia"/>
                <w:sz w:val="18"/>
                <w:szCs w:val="18"/>
              </w:rPr>
            </w:pPr>
          </w:p>
        </w:tc>
        <w:tc>
          <w:tcPr>
            <w:tcW w:w="945" w:type="dxa"/>
            <w:vAlign w:val="center"/>
          </w:tcPr>
          <w:p>
            <w:pPr>
              <w:snapToGrid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污染系数</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2.2</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2.4</w:t>
            </w:r>
          </w:p>
        </w:tc>
        <w:tc>
          <w:tcPr>
            <w:tcW w:w="62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3.2</w:t>
            </w:r>
          </w:p>
        </w:tc>
        <w:tc>
          <w:tcPr>
            <w:tcW w:w="525"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2.6</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2.8</w:t>
            </w:r>
          </w:p>
        </w:tc>
        <w:tc>
          <w:tcPr>
            <w:tcW w:w="63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1.9</w:t>
            </w:r>
          </w:p>
        </w:tc>
        <w:tc>
          <w:tcPr>
            <w:tcW w:w="469"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1.1</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586"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0.9</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58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0.7</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1.0</w:t>
            </w:r>
          </w:p>
        </w:tc>
        <w:tc>
          <w:tcPr>
            <w:tcW w:w="470" w:type="dxa"/>
            <w:vAlign w:val="center"/>
          </w:tcPr>
          <w:p>
            <w:pPr>
              <w:snapToGrid w:val="0"/>
              <w:jc w:val="center"/>
              <w:rPr>
                <w:rFonts w:hint="eastAsia" w:asciiTheme="minorEastAsia" w:hAnsiTheme="minorEastAsia" w:eastAsiaTheme="minorEastAsia" w:cstheme="minorEastAsia"/>
                <w:spacing w:val="-4"/>
                <w:sz w:val="18"/>
                <w:szCs w:val="18"/>
              </w:rPr>
            </w:pPr>
            <w:r>
              <w:rPr>
                <w:rFonts w:hint="eastAsia" w:asciiTheme="minorEastAsia" w:hAnsiTheme="minorEastAsia" w:eastAsiaTheme="minorEastAsia" w:cstheme="minorEastAsia"/>
                <w:spacing w:val="-4"/>
                <w:sz w:val="18"/>
                <w:szCs w:val="18"/>
              </w:rPr>
              <w:t>0.8</w:t>
            </w:r>
          </w:p>
        </w:tc>
        <w:tc>
          <w:tcPr>
            <w:tcW w:w="551" w:type="dxa"/>
            <w:vMerge w:val="continue"/>
            <w:vAlign w:val="center"/>
          </w:tcPr>
          <w:p>
            <w:pPr>
              <w:snapToGrid w:val="0"/>
              <w:jc w:val="center"/>
              <w:rPr>
                <w:rFonts w:hint="eastAsia" w:asciiTheme="minorEastAsia" w:hAnsiTheme="minorEastAsia" w:eastAsiaTheme="minorEastAsia" w:cstheme="minorEastAsia"/>
                <w:spacing w:val="-4"/>
                <w:sz w:val="18"/>
                <w:szCs w:val="18"/>
              </w:rPr>
            </w:pPr>
          </w:p>
        </w:tc>
      </w:tr>
    </w:tbl>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（4）大气稳定度</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由丹阳市气象站的地面气象资料，采用P-C法进行稳定度分类，分析厂址地区大气稳定度的气候特征。</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表4.2-3为厂址地区的全年种类稳定度出现频率。由表可以看出，本地大气稳定度以中性为主，年出现频率为46.6%，其次是E类和C类，不稳定层结出现频率较少。各季度稳定度分布频率显示，冬、春季大气层结更趋于稳定，不稳定层结出现频率甚低，尤其是冬季，A-B类出现频率仅为1.8，夏、秋二季不稳定层结出现频率高于年均值，但大气稳定度分布仍以中性为主。</w:t>
      </w: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表4.2-3 大气稳定度出现频率（%）</w:t>
      </w:r>
    </w:p>
    <w:tbl>
      <w:tblPr>
        <w:tblStyle w:val="20"/>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051"/>
        <w:gridCol w:w="1052"/>
        <w:gridCol w:w="1052"/>
        <w:gridCol w:w="1052"/>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稳 定 度</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A</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B</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C</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D</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E</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春</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0.9</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8.0</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13.3</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52.2</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15.6</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夏</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11.8</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14.5</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43.3</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20.0</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秋</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13.5</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13.2</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37.3</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15.6</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冬</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0.1</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7.7</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51.5</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22.2</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8.3</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12.0</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46.6</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18.2</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9"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平均风速(m／s)</w:t>
            </w:r>
          </w:p>
        </w:tc>
        <w:tc>
          <w:tcPr>
            <w:tcW w:w="1051"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2.9</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3.9</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3.5</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w:t>
            </w:r>
          </w:p>
        </w:tc>
        <w:tc>
          <w:tcPr>
            <w:tcW w:w="105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w:t>
            </w:r>
          </w:p>
        </w:tc>
      </w:tr>
    </w:tbl>
    <w:p>
      <w:pPr>
        <w:pStyle w:val="30"/>
        <w:spacing w:before="120" w:after="120"/>
        <w:rPr>
          <w:rFonts w:hint="eastAsia" w:asciiTheme="minorEastAsia" w:hAnsiTheme="minorEastAsia" w:eastAsiaTheme="minorEastAsia" w:cstheme="minorEastAsia"/>
        </w:rPr>
      </w:pPr>
      <w:bookmarkStart w:id="67" w:name="_Toc12410"/>
      <w:r>
        <w:rPr>
          <w:rFonts w:hint="eastAsia" w:asciiTheme="minorEastAsia" w:hAnsiTheme="minorEastAsia" w:eastAsiaTheme="minorEastAsia" w:cstheme="minorEastAsia"/>
        </w:rPr>
        <w:t>4.3大气环境影响分析</w:t>
      </w:r>
      <w:bookmarkEnd w:id="67"/>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outlineLvl w:val="9"/>
        <w:rPr>
          <w:rFonts w:hAnsi="宋体"/>
          <w:sz w:val="28"/>
          <w:szCs w:val="28"/>
        </w:rPr>
      </w:pPr>
      <w:r>
        <w:rPr>
          <w:rFonts w:hint="eastAsia" w:hAnsi="宋体"/>
          <w:sz w:val="28"/>
          <w:szCs w:val="28"/>
        </w:rPr>
        <w:t>通过废气治理措施的</w:t>
      </w:r>
      <w:r>
        <w:rPr>
          <w:rFonts w:hint="eastAsia" w:hAnsi="宋体"/>
          <w:sz w:val="28"/>
          <w:szCs w:val="28"/>
          <w:lang w:val="en-US" w:eastAsia="zh-CN"/>
        </w:rPr>
        <w:t>处理</w:t>
      </w:r>
      <w:r>
        <w:rPr>
          <w:rFonts w:hint="eastAsia" w:hAnsi="宋体"/>
          <w:sz w:val="28"/>
          <w:szCs w:val="28"/>
        </w:rPr>
        <w:t>，正常工况下，该项目废气污染物均可实现达标排放。</w:t>
      </w:r>
      <w:r>
        <w:rPr>
          <w:rFonts w:hAnsi="宋体"/>
          <w:sz w:val="28"/>
          <w:szCs w:val="28"/>
        </w:rPr>
        <w:t>根据《环境影响评价技术导则大气环境》（HJ2.2-2008），选择推荐模式中的估算模式SCREEN3。结合工程分析结果，计算各污染物的最大影响程度和最远影响范围。本项目各类大气污染物点源估算结果统计表见表</w:t>
      </w:r>
      <w:r>
        <w:rPr>
          <w:rFonts w:hint="eastAsia" w:hAnsi="宋体"/>
          <w:sz w:val="28"/>
          <w:szCs w:val="28"/>
        </w:rPr>
        <w:t>4.3-1。</w:t>
      </w:r>
      <w:r>
        <w:rPr>
          <w:rFonts w:hint="eastAsia" w:hAnsi="宋体"/>
          <w:sz w:val="28"/>
          <w:szCs w:val="28"/>
          <w:lang w:val="en-US" w:eastAsia="zh-CN"/>
        </w:rPr>
        <w:t xml:space="preserve">                                  </w:t>
      </w:r>
    </w:p>
    <w:p>
      <w:pPr>
        <w:spacing w:line="360" w:lineRule="auto"/>
        <w:ind w:firstLine="560" w:firstLineChars="200"/>
        <w:rPr>
          <w:rFonts w:hint="eastAsia" w:hAnsi="宋体"/>
          <w:sz w:val="28"/>
          <w:szCs w:val="28"/>
        </w:rPr>
      </w:pPr>
    </w:p>
    <w:p>
      <w:pPr>
        <w:snapToGrid w:val="0"/>
        <w:spacing w:line="360" w:lineRule="auto"/>
        <w:jc w:val="center"/>
        <w:rPr>
          <w:rFonts w:hAnsi="宋体"/>
          <w:sz w:val="28"/>
          <w:szCs w:val="28"/>
        </w:rPr>
      </w:pPr>
    </w:p>
    <w:p>
      <w:pPr>
        <w:snapToGrid w:val="0"/>
        <w:spacing w:line="360" w:lineRule="auto"/>
        <w:jc w:val="center"/>
        <w:rPr>
          <w:rFonts w:hint="eastAsia" w:hAnsi="宋体"/>
          <w:sz w:val="28"/>
          <w:szCs w:val="28"/>
        </w:rPr>
      </w:pPr>
      <w:r>
        <w:rPr>
          <w:rFonts w:hAnsi="宋体"/>
          <w:sz w:val="28"/>
          <w:szCs w:val="28"/>
        </w:rPr>
        <w:t>表</w:t>
      </w:r>
      <w:r>
        <w:rPr>
          <w:rFonts w:hint="eastAsia" w:hAnsi="宋体"/>
          <w:sz w:val="28"/>
          <w:szCs w:val="28"/>
        </w:rPr>
        <w:t>4.3-1</w:t>
      </w:r>
      <w:r>
        <w:rPr>
          <w:rFonts w:hAnsi="宋体"/>
          <w:sz w:val="28"/>
          <w:szCs w:val="28"/>
        </w:rPr>
        <w:t xml:space="preserve">  </w:t>
      </w:r>
      <w:r>
        <w:rPr>
          <w:rFonts w:hint="eastAsia" w:hAnsi="宋体"/>
          <w:sz w:val="28"/>
          <w:szCs w:val="28"/>
        </w:rPr>
        <w:t>该项目</w:t>
      </w:r>
      <w:r>
        <w:rPr>
          <w:rFonts w:hAnsi="宋体"/>
          <w:sz w:val="28"/>
          <w:szCs w:val="28"/>
        </w:rPr>
        <w:t>点源及面源估算结果</w:t>
      </w:r>
    </w:p>
    <w:tbl>
      <w:tblPr>
        <w:tblStyle w:val="20"/>
        <w:tblW w:w="9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02"/>
        <w:gridCol w:w="1539"/>
        <w:gridCol w:w="1537"/>
        <w:gridCol w:w="1537"/>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70" w:type="dxa"/>
            <w:vAlign w:val="center"/>
          </w:tcPr>
          <w:p>
            <w:pPr>
              <w:jc w:val="center"/>
              <w:rPr>
                <w:sz w:val="24"/>
              </w:rPr>
            </w:pPr>
            <w:r>
              <w:rPr>
                <w:rFonts w:hAnsi="仿宋"/>
                <w:sz w:val="24"/>
              </w:rPr>
              <w:t>污染源</w:t>
            </w:r>
          </w:p>
        </w:tc>
        <w:tc>
          <w:tcPr>
            <w:tcW w:w="1502" w:type="dxa"/>
            <w:vAlign w:val="center"/>
          </w:tcPr>
          <w:p>
            <w:pPr>
              <w:jc w:val="center"/>
              <w:rPr>
                <w:sz w:val="24"/>
              </w:rPr>
            </w:pPr>
            <w:r>
              <w:rPr>
                <w:rFonts w:hAnsi="仿宋"/>
                <w:sz w:val="24"/>
              </w:rPr>
              <w:t>污染物名称</w:t>
            </w:r>
          </w:p>
        </w:tc>
        <w:tc>
          <w:tcPr>
            <w:tcW w:w="1539" w:type="dxa"/>
            <w:vAlign w:val="center"/>
          </w:tcPr>
          <w:p>
            <w:pPr>
              <w:jc w:val="center"/>
              <w:rPr>
                <w:sz w:val="24"/>
              </w:rPr>
            </w:pPr>
            <w:r>
              <w:rPr>
                <w:rFonts w:hAnsi="仿宋"/>
                <w:sz w:val="24"/>
              </w:rPr>
              <w:t>下风向预测最大浓度出现距离（</w:t>
            </w:r>
            <w:r>
              <w:rPr>
                <w:sz w:val="24"/>
              </w:rPr>
              <w:t>m</w:t>
            </w:r>
            <w:r>
              <w:rPr>
                <w:rFonts w:hAnsi="仿宋"/>
                <w:sz w:val="24"/>
              </w:rPr>
              <w:t>）</w:t>
            </w:r>
          </w:p>
        </w:tc>
        <w:tc>
          <w:tcPr>
            <w:tcW w:w="1537" w:type="dxa"/>
            <w:vAlign w:val="center"/>
          </w:tcPr>
          <w:p>
            <w:pPr>
              <w:jc w:val="center"/>
              <w:rPr>
                <w:sz w:val="24"/>
              </w:rPr>
            </w:pPr>
            <w:r>
              <w:rPr>
                <w:rFonts w:hAnsi="仿宋"/>
                <w:sz w:val="24"/>
              </w:rPr>
              <w:t>下风向预测最大浓度（</w:t>
            </w:r>
            <w:r>
              <w:rPr>
                <w:rFonts w:hint="eastAsia" w:hAnsi="仿宋"/>
                <w:sz w:val="24"/>
                <w:lang w:val="en-US" w:eastAsia="zh-CN"/>
              </w:rPr>
              <w:t>m</w:t>
            </w:r>
            <w:r>
              <w:rPr>
                <w:sz w:val="24"/>
              </w:rPr>
              <w:t>g/m</w:t>
            </w:r>
            <w:r>
              <w:rPr>
                <w:sz w:val="24"/>
                <w:vertAlign w:val="superscript"/>
              </w:rPr>
              <w:t>3</w:t>
            </w:r>
            <w:r>
              <w:rPr>
                <w:rFonts w:hAnsi="仿宋"/>
                <w:sz w:val="24"/>
              </w:rPr>
              <w:t>）</w:t>
            </w:r>
          </w:p>
        </w:tc>
        <w:tc>
          <w:tcPr>
            <w:tcW w:w="1537" w:type="dxa"/>
            <w:vAlign w:val="center"/>
          </w:tcPr>
          <w:p>
            <w:pPr>
              <w:jc w:val="center"/>
              <w:rPr>
                <w:sz w:val="24"/>
              </w:rPr>
            </w:pPr>
            <w:r>
              <w:rPr>
                <w:rFonts w:hAnsi="仿宋"/>
                <w:sz w:val="24"/>
              </w:rPr>
              <w:t>占标准率</w:t>
            </w:r>
          </w:p>
          <w:p>
            <w:pPr>
              <w:jc w:val="center"/>
              <w:rPr>
                <w:sz w:val="24"/>
              </w:rPr>
            </w:pPr>
            <w:r>
              <w:rPr>
                <w:sz w:val="24"/>
              </w:rPr>
              <w:t>Pmax</w:t>
            </w:r>
            <w:r>
              <w:rPr>
                <w:rFonts w:hAnsi="仿宋"/>
                <w:sz w:val="24"/>
              </w:rPr>
              <w:t>（</w:t>
            </w:r>
            <w:r>
              <w:rPr>
                <w:sz w:val="24"/>
              </w:rPr>
              <w:t>%</w:t>
            </w:r>
            <w:r>
              <w:rPr>
                <w:rFonts w:hAnsi="仿宋"/>
                <w:sz w:val="24"/>
              </w:rPr>
              <w:t>）</w:t>
            </w:r>
          </w:p>
        </w:tc>
        <w:tc>
          <w:tcPr>
            <w:tcW w:w="1539" w:type="dxa"/>
            <w:vAlign w:val="center"/>
          </w:tcPr>
          <w:p>
            <w:pPr>
              <w:jc w:val="center"/>
              <w:rPr>
                <w:sz w:val="24"/>
              </w:rPr>
            </w:pPr>
            <w:r>
              <w:rPr>
                <w:sz w:val="24"/>
              </w:rPr>
              <w:t>D10</w:t>
            </w:r>
            <w:r>
              <w:rPr>
                <w:rFonts w:hAnsi="仿宋"/>
                <w:sz w:val="24"/>
              </w:rPr>
              <w:t>％，</w:t>
            </w:r>
            <w:r>
              <w:rPr>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570" w:type="dxa"/>
            <w:vAlign w:val="center"/>
          </w:tcPr>
          <w:p>
            <w:pPr>
              <w:jc w:val="center"/>
              <w:rPr>
                <w:sz w:val="24"/>
              </w:rPr>
            </w:pPr>
            <w:r>
              <w:rPr>
                <w:rFonts w:hint="eastAsia"/>
                <w:sz w:val="24"/>
              </w:rPr>
              <w:t>点源</w:t>
            </w:r>
            <w:r>
              <w:rPr>
                <w:sz w:val="24"/>
              </w:rPr>
              <w:t>H</w:t>
            </w:r>
            <w:r>
              <w:rPr>
                <w:rFonts w:hint="eastAsia"/>
                <w:sz w:val="24"/>
                <w:lang w:val="en-US" w:eastAsia="zh-CN"/>
              </w:rPr>
              <w:t>5</w:t>
            </w:r>
          </w:p>
        </w:tc>
        <w:tc>
          <w:tcPr>
            <w:tcW w:w="1502" w:type="dxa"/>
            <w:vAlign w:val="center"/>
          </w:tcPr>
          <w:p>
            <w:pPr>
              <w:jc w:val="center"/>
              <w:rPr>
                <w:rFonts w:hint="eastAsia" w:eastAsia="宋体"/>
                <w:sz w:val="24"/>
                <w:lang w:eastAsia="zh-CN"/>
              </w:rPr>
            </w:pPr>
            <w:r>
              <w:rPr>
                <w:rFonts w:hint="eastAsia"/>
                <w:sz w:val="24"/>
                <w:lang w:val="en-US" w:eastAsia="zh-CN"/>
              </w:rPr>
              <w:t>非甲烷总烃</w:t>
            </w:r>
          </w:p>
        </w:tc>
        <w:tc>
          <w:tcPr>
            <w:tcW w:w="1539" w:type="dxa"/>
            <w:vAlign w:val="center"/>
          </w:tcPr>
          <w:p>
            <w:pPr>
              <w:jc w:val="center"/>
              <w:rPr>
                <w:rFonts w:hint="eastAsia" w:eastAsia="宋体"/>
                <w:sz w:val="24"/>
                <w:lang w:val="en-US" w:eastAsia="zh-CN"/>
              </w:rPr>
            </w:pPr>
            <w:r>
              <w:rPr>
                <w:rFonts w:hint="eastAsia"/>
                <w:sz w:val="24"/>
                <w:lang w:val="en-US" w:eastAsia="zh-CN"/>
              </w:rPr>
              <w:t>132</w:t>
            </w:r>
          </w:p>
        </w:tc>
        <w:tc>
          <w:tcPr>
            <w:tcW w:w="1537" w:type="dxa"/>
            <w:vAlign w:val="center"/>
          </w:tcPr>
          <w:p>
            <w:pPr>
              <w:spacing w:line="240" w:lineRule="atLeast"/>
              <w:jc w:val="center"/>
              <w:rPr>
                <w:rFonts w:hint="eastAsia" w:eastAsia="宋体"/>
                <w:sz w:val="24"/>
                <w:lang w:val="en-US" w:eastAsia="zh-CN"/>
              </w:rPr>
            </w:pPr>
            <w:r>
              <w:rPr>
                <w:rFonts w:hint="eastAsia"/>
                <w:sz w:val="24"/>
                <w:lang w:val="en-US" w:eastAsia="zh-CN"/>
              </w:rPr>
              <w:t>0.00441</w:t>
            </w:r>
          </w:p>
        </w:tc>
        <w:tc>
          <w:tcPr>
            <w:tcW w:w="1537" w:type="dxa"/>
            <w:vAlign w:val="center"/>
          </w:tcPr>
          <w:p>
            <w:pPr>
              <w:spacing w:line="240" w:lineRule="atLeast"/>
              <w:jc w:val="center"/>
              <w:rPr>
                <w:rFonts w:hint="eastAsia" w:eastAsia="宋体"/>
                <w:sz w:val="24"/>
                <w:lang w:val="en-US" w:eastAsia="zh-CN"/>
              </w:rPr>
            </w:pPr>
            <w:r>
              <w:rPr>
                <w:rFonts w:hint="eastAsia"/>
                <w:sz w:val="24"/>
                <w:lang w:val="en-US" w:eastAsia="zh-CN"/>
              </w:rPr>
              <w:t>0.22</w:t>
            </w:r>
          </w:p>
        </w:tc>
        <w:tc>
          <w:tcPr>
            <w:tcW w:w="1539" w:type="dxa"/>
            <w:vAlign w:val="center"/>
          </w:tcPr>
          <w:p>
            <w:pPr>
              <w:jc w:val="center"/>
              <w:rPr>
                <w:sz w:val="24"/>
              </w:rPr>
            </w:pPr>
            <w:r>
              <w:rPr>
                <w:rFonts w:hAnsi="仿宋"/>
                <w:sz w:val="24"/>
              </w:rPr>
              <w:t>没有出现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570" w:type="dxa"/>
            <w:vAlign w:val="center"/>
          </w:tcPr>
          <w:p>
            <w:pPr>
              <w:jc w:val="center"/>
              <w:rPr>
                <w:rFonts w:hint="eastAsia" w:eastAsia="宋体"/>
                <w:sz w:val="24"/>
                <w:lang w:val="en-US" w:eastAsia="zh-CN"/>
              </w:rPr>
            </w:pPr>
            <w:r>
              <w:rPr>
                <w:rFonts w:hint="eastAsia"/>
                <w:sz w:val="24"/>
              </w:rPr>
              <w:t>点源</w:t>
            </w:r>
            <w:r>
              <w:rPr>
                <w:sz w:val="24"/>
              </w:rPr>
              <w:t>H</w:t>
            </w:r>
            <w:r>
              <w:rPr>
                <w:rFonts w:hint="eastAsia"/>
                <w:sz w:val="24"/>
                <w:lang w:val="en-US" w:eastAsia="zh-CN"/>
              </w:rPr>
              <w:t>6</w:t>
            </w:r>
          </w:p>
        </w:tc>
        <w:tc>
          <w:tcPr>
            <w:tcW w:w="1502" w:type="dxa"/>
            <w:vAlign w:val="center"/>
          </w:tcPr>
          <w:p>
            <w:pPr>
              <w:jc w:val="center"/>
              <w:rPr>
                <w:rFonts w:hint="eastAsia"/>
                <w:sz w:val="24"/>
                <w:lang w:val="en-US" w:eastAsia="zh-CN"/>
              </w:rPr>
            </w:pPr>
            <w:r>
              <w:rPr>
                <w:rFonts w:hint="eastAsia"/>
                <w:sz w:val="24"/>
                <w:lang w:val="en-US" w:eastAsia="zh-CN"/>
              </w:rPr>
              <w:t>NO</w:t>
            </w:r>
            <w:r>
              <w:rPr>
                <w:rFonts w:hint="eastAsia"/>
                <w:sz w:val="24"/>
                <w:vertAlign w:val="subscript"/>
                <w:lang w:val="en-US" w:eastAsia="zh-CN"/>
              </w:rPr>
              <w:t>X</w:t>
            </w:r>
          </w:p>
        </w:tc>
        <w:tc>
          <w:tcPr>
            <w:tcW w:w="1539" w:type="dxa"/>
            <w:vAlign w:val="center"/>
          </w:tcPr>
          <w:p>
            <w:pPr>
              <w:jc w:val="center"/>
              <w:rPr>
                <w:rFonts w:hint="eastAsia"/>
                <w:sz w:val="24"/>
                <w:lang w:val="en-US" w:eastAsia="zh-CN"/>
              </w:rPr>
            </w:pPr>
            <w:r>
              <w:rPr>
                <w:rFonts w:hint="eastAsia"/>
                <w:sz w:val="24"/>
                <w:lang w:val="en-US" w:eastAsia="zh-CN"/>
              </w:rPr>
              <w:t>432</w:t>
            </w:r>
          </w:p>
        </w:tc>
        <w:tc>
          <w:tcPr>
            <w:tcW w:w="1537" w:type="dxa"/>
            <w:vAlign w:val="center"/>
          </w:tcPr>
          <w:p>
            <w:pPr>
              <w:spacing w:line="240" w:lineRule="atLeast"/>
              <w:jc w:val="center"/>
              <w:rPr>
                <w:rFonts w:hint="eastAsia"/>
                <w:sz w:val="24"/>
                <w:lang w:val="en-US" w:eastAsia="zh-CN"/>
              </w:rPr>
            </w:pPr>
            <w:r>
              <w:rPr>
                <w:rFonts w:hint="eastAsia"/>
                <w:sz w:val="24"/>
                <w:lang w:val="en-US" w:eastAsia="zh-CN"/>
              </w:rPr>
              <w:t>0.003739</w:t>
            </w:r>
          </w:p>
        </w:tc>
        <w:tc>
          <w:tcPr>
            <w:tcW w:w="1537" w:type="dxa"/>
            <w:vAlign w:val="center"/>
          </w:tcPr>
          <w:p>
            <w:pPr>
              <w:spacing w:line="240" w:lineRule="atLeast"/>
              <w:jc w:val="center"/>
              <w:rPr>
                <w:rFonts w:hint="eastAsia"/>
                <w:sz w:val="24"/>
                <w:lang w:val="en-US" w:eastAsia="zh-CN"/>
              </w:rPr>
            </w:pPr>
            <w:r>
              <w:rPr>
                <w:rFonts w:hint="eastAsia"/>
                <w:sz w:val="24"/>
                <w:lang w:val="en-US" w:eastAsia="zh-CN"/>
              </w:rPr>
              <w:t>3.74</w:t>
            </w:r>
          </w:p>
        </w:tc>
        <w:tc>
          <w:tcPr>
            <w:tcW w:w="1539" w:type="dxa"/>
            <w:vAlign w:val="center"/>
          </w:tcPr>
          <w:p>
            <w:pPr>
              <w:jc w:val="center"/>
              <w:rPr>
                <w:rFonts w:hAnsi="仿宋"/>
                <w:sz w:val="24"/>
              </w:rPr>
            </w:pPr>
            <w:r>
              <w:rPr>
                <w:rFonts w:hAnsi="仿宋"/>
                <w:sz w:val="24"/>
              </w:rPr>
              <w:t>没有出现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570" w:type="dxa"/>
            <w:vMerge w:val="restart"/>
            <w:vAlign w:val="center"/>
          </w:tcPr>
          <w:p>
            <w:pPr>
              <w:jc w:val="center"/>
              <w:rPr>
                <w:rFonts w:hint="eastAsia" w:hAnsi="仿宋"/>
                <w:sz w:val="24"/>
              </w:rPr>
            </w:pPr>
            <w:r>
              <w:rPr>
                <w:rFonts w:hint="eastAsia" w:hAnsi="仿宋"/>
                <w:sz w:val="24"/>
              </w:rPr>
              <w:t>面源S1</w:t>
            </w:r>
          </w:p>
        </w:tc>
        <w:tc>
          <w:tcPr>
            <w:tcW w:w="1502" w:type="dxa"/>
            <w:vAlign w:val="center"/>
          </w:tcPr>
          <w:p>
            <w:pPr>
              <w:jc w:val="center"/>
              <w:rPr>
                <w:rFonts w:hint="eastAsia" w:eastAsia="宋体"/>
                <w:sz w:val="24"/>
                <w:lang w:val="en-US" w:eastAsia="zh-CN"/>
              </w:rPr>
            </w:pPr>
            <w:r>
              <w:rPr>
                <w:rFonts w:hint="eastAsia"/>
                <w:sz w:val="24"/>
                <w:lang w:val="en-US" w:eastAsia="zh-CN"/>
              </w:rPr>
              <w:t>甲醛</w:t>
            </w:r>
          </w:p>
        </w:tc>
        <w:tc>
          <w:tcPr>
            <w:tcW w:w="1539" w:type="dxa"/>
            <w:vAlign w:val="center"/>
          </w:tcPr>
          <w:p>
            <w:pPr>
              <w:jc w:val="center"/>
              <w:rPr>
                <w:rFonts w:hint="eastAsia" w:eastAsia="宋体"/>
                <w:sz w:val="24"/>
                <w:lang w:val="en-US" w:eastAsia="zh-CN"/>
              </w:rPr>
            </w:pPr>
            <w:r>
              <w:rPr>
                <w:rFonts w:hint="eastAsia"/>
                <w:sz w:val="24"/>
                <w:lang w:val="en-US" w:eastAsia="zh-CN"/>
              </w:rPr>
              <w:t>182</w:t>
            </w:r>
          </w:p>
        </w:tc>
        <w:tc>
          <w:tcPr>
            <w:tcW w:w="1537" w:type="dxa"/>
            <w:vAlign w:val="center"/>
          </w:tcPr>
          <w:p>
            <w:pPr>
              <w:spacing w:line="240" w:lineRule="atLeast"/>
              <w:jc w:val="center"/>
              <w:rPr>
                <w:rFonts w:hint="eastAsia"/>
                <w:sz w:val="24"/>
                <w:lang w:val="en-US" w:eastAsia="zh-CN"/>
              </w:rPr>
            </w:pPr>
            <w:r>
              <w:rPr>
                <w:rFonts w:hint="eastAsia"/>
                <w:sz w:val="24"/>
                <w:lang w:val="en-US" w:eastAsia="zh-CN"/>
              </w:rPr>
              <w:t>0.0002342</w:t>
            </w:r>
          </w:p>
        </w:tc>
        <w:tc>
          <w:tcPr>
            <w:tcW w:w="1537" w:type="dxa"/>
            <w:vAlign w:val="center"/>
          </w:tcPr>
          <w:p>
            <w:pPr>
              <w:spacing w:line="240" w:lineRule="atLeast"/>
              <w:jc w:val="center"/>
              <w:rPr>
                <w:rFonts w:hint="eastAsia" w:eastAsia="宋体"/>
                <w:sz w:val="24"/>
                <w:lang w:val="en-US" w:eastAsia="zh-CN"/>
              </w:rPr>
            </w:pPr>
            <w:r>
              <w:rPr>
                <w:rFonts w:hint="eastAsia"/>
                <w:sz w:val="24"/>
                <w:lang w:val="en-US" w:eastAsia="zh-CN"/>
              </w:rPr>
              <w:t>0.47</w:t>
            </w:r>
          </w:p>
        </w:tc>
        <w:tc>
          <w:tcPr>
            <w:tcW w:w="1539" w:type="dxa"/>
            <w:vAlign w:val="center"/>
          </w:tcPr>
          <w:p>
            <w:pPr>
              <w:jc w:val="center"/>
              <w:rPr>
                <w:rFonts w:hAnsi="仿宋"/>
                <w:sz w:val="24"/>
                <w:highlight w:val="yellow"/>
              </w:rPr>
            </w:pPr>
            <w:r>
              <w:rPr>
                <w:rFonts w:hAnsi="仿宋"/>
                <w:sz w:val="24"/>
              </w:rPr>
              <w:t>没有出现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570" w:type="dxa"/>
            <w:vMerge w:val="continue"/>
            <w:vAlign w:val="center"/>
          </w:tcPr>
          <w:p>
            <w:pPr>
              <w:jc w:val="center"/>
              <w:rPr>
                <w:rFonts w:hAnsi="仿宋"/>
                <w:sz w:val="24"/>
              </w:rPr>
            </w:pPr>
          </w:p>
        </w:tc>
        <w:tc>
          <w:tcPr>
            <w:tcW w:w="1502" w:type="dxa"/>
            <w:vAlign w:val="center"/>
          </w:tcPr>
          <w:p>
            <w:pPr>
              <w:jc w:val="center"/>
              <w:rPr>
                <w:rFonts w:hint="eastAsia" w:hAnsi="仿宋" w:eastAsia="宋体"/>
                <w:sz w:val="24"/>
                <w:lang w:val="en-US" w:eastAsia="zh-CN"/>
              </w:rPr>
            </w:pPr>
            <w:r>
              <w:rPr>
                <w:rFonts w:hint="eastAsia"/>
                <w:sz w:val="24"/>
                <w:lang w:val="en-US" w:eastAsia="zh-CN"/>
              </w:rPr>
              <w:t>非甲烷总烃</w:t>
            </w:r>
          </w:p>
        </w:tc>
        <w:tc>
          <w:tcPr>
            <w:tcW w:w="1539" w:type="dxa"/>
            <w:textDirection w:val="lrTb"/>
            <w:vAlign w:val="center"/>
          </w:tcPr>
          <w:p>
            <w:pPr>
              <w:jc w:val="center"/>
              <w:rPr>
                <w:rFonts w:hint="eastAsia"/>
                <w:sz w:val="24"/>
              </w:rPr>
            </w:pPr>
            <w:r>
              <w:rPr>
                <w:rFonts w:hint="eastAsia"/>
                <w:sz w:val="24"/>
                <w:lang w:val="en-US" w:eastAsia="zh-CN"/>
              </w:rPr>
              <w:t>182</w:t>
            </w:r>
          </w:p>
        </w:tc>
        <w:tc>
          <w:tcPr>
            <w:tcW w:w="1537" w:type="dxa"/>
            <w:textDirection w:val="lrTb"/>
            <w:vAlign w:val="center"/>
          </w:tcPr>
          <w:p>
            <w:pPr>
              <w:spacing w:line="240" w:lineRule="atLeast"/>
              <w:jc w:val="center"/>
              <w:rPr>
                <w:rFonts w:hint="eastAsia"/>
                <w:sz w:val="24"/>
                <w:lang w:val="en-US" w:eastAsia="zh-CN"/>
              </w:rPr>
            </w:pPr>
            <w:r>
              <w:rPr>
                <w:rFonts w:hint="eastAsia"/>
                <w:sz w:val="24"/>
                <w:lang w:val="en-US" w:eastAsia="zh-CN"/>
              </w:rPr>
              <w:t>5.512E-5</w:t>
            </w:r>
          </w:p>
        </w:tc>
        <w:tc>
          <w:tcPr>
            <w:tcW w:w="1537" w:type="dxa"/>
            <w:textDirection w:val="lrTb"/>
            <w:vAlign w:val="center"/>
          </w:tcPr>
          <w:p>
            <w:pPr>
              <w:spacing w:line="240" w:lineRule="atLeast"/>
              <w:jc w:val="center"/>
              <w:rPr>
                <w:rFonts w:hint="eastAsia"/>
                <w:sz w:val="24"/>
              </w:rPr>
            </w:pPr>
            <w:r>
              <w:rPr>
                <w:rFonts w:hint="eastAsia"/>
                <w:sz w:val="24"/>
                <w:lang w:val="en-US" w:eastAsia="zh-CN"/>
              </w:rPr>
              <w:t>0.00</w:t>
            </w:r>
          </w:p>
        </w:tc>
        <w:tc>
          <w:tcPr>
            <w:tcW w:w="1539" w:type="dxa"/>
            <w:vAlign w:val="center"/>
          </w:tcPr>
          <w:p>
            <w:pPr>
              <w:jc w:val="center"/>
              <w:rPr>
                <w:rFonts w:hAnsi="仿宋"/>
                <w:sz w:val="24"/>
                <w:highlight w:val="yellow"/>
              </w:rPr>
            </w:pPr>
            <w:r>
              <w:rPr>
                <w:rFonts w:hAnsi="仿宋"/>
                <w:sz w:val="24"/>
              </w:rPr>
              <w:t>没有出现</w:t>
            </w:r>
          </w:p>
        </w:tc>
      </w:tr>
    </w:tbl>
    <w:p>
      <w:pPr>
        <w:spacing w:line="360" w:lineRule="auto"/>
        <w:ind w:firstLine="560" w:firstLineChars="200"/>
        <w:rPr>
          <w:rFonts w:hint="eastAsia" w:asciiTheme="minorEastAsia" w:hAnsiTheme="minorEastAsia" w:eastAsiaTheme="minorEastAsia" w:cstheme="minorEastAsia"/>
        </w:rPr>
      </w:pPr>
      <w:r>
        <w:rPr>
          <w:rFonts w:hint="eastAsia" w:ascii="宋体" w:hAnsi="宋体" w:cs="宋体"/>
          <w:kern w:val="0"/>
          <w:sz w:val="28"/>
          <w:szCs w:val="28"/>
        </w:rPr>
        <w:t>由上表可知，该项目废气治理措施正常工况下，废气污染物最大落地点浓度均远远小于地面浓度标准限值10％的值，不会对区域环境空气质量产生明显不利影响，其评价区空气环境质量仍可维持现状。同时，通过废气治理措施，将进一步减少废气污染物的排放，将会改善附近区域空气环境质量。</w:t>
      </w:r>
    </w:p>
    <w:p>
      <w:pPr>
        <w:pStyle w:val="30"/>
        <w:spacing w:before="120" w:after="120"/>
        <w:rPr>
          <w:rFonts w:hint="eastAsia" w:asciiTheme="minorEastAsia" w:hAnsiTheme="minorEastAsia" w:eastAsiaTheme="minorEastAsia" w:cstheme="minorEastAsia"/>
        </w:rPr>
      </w:pPr>
      <w:bookmarkStart w:id="68" w:name="_Toc24152"/>
      <w:r>
        <w:rPr>
          <w:rFonts w:hint="eastAsia" w:asciiTheme="minorEastAsia" w:hAnsiTheme="minorEastAsia" w:eastAsiaTheme="minorEastAsia" w:cstheme="minorEastAsia"/>
        </w:rPr>
        <w:t>4.4 卫生防护距离计算</w:t>
      </w:r>
      <w:bookmarkEnd w:id="68"/>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（1）大气环境防护距离</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val="en-US" w:eastAsia="zh-CN"/>
        </w:rPr>
        <w:t>本项目无组织排放</w:t>
      </w:r>
      <w:r>
        <w:rPr>
          <w:rFonts w:hint="default" w:ascii="Times New Roman" w:hAnsi="Times New Roman" w:cs="Times New Roman" w:eastAsiaTheme="minorEastAsia"/>
          <w:kern w:val="0"/>
          <w:sz w:val="28"/>
          <w:szCs w:val="28"/>
          <w:lang w:val="en-US" w:eastAsia="zh-CN"/>
        </w:rPr>
        <w:t>甲醛0.0068t/a，非甲烷总烃0.0016t/a</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采用《环境影响评价技术导则-大气环境》（HJ2.2-2008）中推荐模式计算无组织排放源的大气环境防护距离。计算出的距离是以污染源中心点为起点的控制距离，超出厂界以外的范围，即为项目大气环境防护区域。</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本项目无组织排放源的大气防护距离计算结果见表4.4-1。</w:t>
      </w: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表4.4-1  无组织排放废气产生情况</w:t>
      </w:r>
    </w:p>
    <w:tbl>
      <w:tblPr>
        <w:tblStyle w:val="20"/>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54"/>
        <w:gridCol w:w="1363"/>
        <w:gridCol w:w="1091"/>
        <w:gridCol w:w="1228"/>
        <w:gridCol w:w="1077"/>
        <w:gridCol w:w="107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54"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污染源</w:t>
            </w:r>
          </w:p>
        </w:tc>
        <w:tc>
          <w:tcPr>
            <w:tcW w:w="1363"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污染物</w:t>
            </w:r>
          </w:p>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名称</w:t>
            </w:r>
          </w:p>
        </w:tc>
        <w:tc>
          <w:tcPr>
            <w:tcW w:w="1091"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源强</w:t>
            </w:r>
          </w:p>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kg/h</w:t>
            </w:r>
          </w:p>
        </w:tc>
        <w:tc>
          <w:tcPr>
            <w:tcW w:w="1228"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质量标准（mg/m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w:t>
            </w:r>
          </w:p>
        </w:tc>
        <w:tc>
          <w:tcPr>
            <w:tcW w:w="1077"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面源面积</w:t>
            </w:r>
          </w:p>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m</w:t>
            </w:r>
            <w:r>
              <w:rPr>
                <w:rFonts w:hint="default" w:ascii="Times New Roman" w:hAnsi="Times New Roman" w:cs="Times New Roman" w:eastAsiaTheme="minorEastAsia"/>
                <w:sz w:val="24"/>
                <w:vertAlign w:val="superscript"/>
              </w:rPr>
              <w:t>2</w:t>
            </w:r>
          </w:p>
        </w:tc>
        <w:tc>
          <w:tcPr>
            <w:tcW w:w="1070"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面源高度</w:t>
            </w:r>
          </w:p>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m</w:t>
            </w:r>
          </w:p>
        </w:tc>
        <w:tc>
          <w:tcPr>
            <w:tcW w:w="1240"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计算大气防护距离m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54" w:type="dxa"/>
            <w:vAlign w:val="center"/>
          </w:tcPr>
          <w:p>
            <w:pPr>
              <w:pStyle w:val="37"/>
              <w:rPr>
                <w:rFonts w:hint="default" w:ascii="Times New Roman" w:hAnsi="Times New Roman" w:cs="Times New Roman" w:eastAsiaTheme="minorEastAsia"/>
                <w:color w:val="auto"/>
                <w:spacing w:val="0"/>
                <w:szCs w:val="24"/>
              </w:rPr>
            </w:pPr>
            <w:r>
              <w:rPr>
                <w:rFonts w:hint="eastAsia" w:cs="Times New Roman"/>
                <w:sz w:val="24"/>
                <w:lang w:val="en-US" w:eastAsia="zh-CN"/>
              </w:rPr>
              <w:t>上胶</w:t>
            </w:r>
            <w:r>
              <w:rPr>
                <w:rFonts w:hint="default" w:ascii="Times New Roman" w:hAnsi="Times New Roman" w:cs="Times New Roman"/>
                <w:sz w:val="24"/>
                <w:lang w:val="en-US" w:eastAsia="zh-CN"/>
              </w:rPr>
              <w:t>工段</w:t>
            </w:r>
          </w:p>
        </w:tc>
        <w:tc>
          <w:tcPr>
            <w:tcW w:w="1363" w:type="dxa"/>
            <w:vAlign w:val="center"/>
          </w:tcPr>
          <w:p>
            <w:pPr>
              <w:pStyle w:val="37"/>
              <w:rPr>
                <w:rFonts w:hint="default" w:ascii="Times New Roman" w:hAnsi="Times New Roman" w:cs="Times New Roman" w:eastAsiaTheme="minorEastAsia"/>
                <w:color w:val="auto"/>
                <w:spacing w:val="0"/>
                <w:szCs w:val="24"/>
              </w:rPr>
            </w:pPr>
            <w:r>
              <w:rPr>
                <w:rFonts w:hint="default" w:ascii="Times New Roman" w:hAnsi="Times New Roman" w:cs="Times New Roman" w:eastAsiaTheme="minorEastAsia"/>
                <w:color w:val="auto"/>
                <w:spacing w:val="0"/>
                <w:szCs w:val="24"/>
              </w:rPr>
              <w:t>甲醛</w:t>
            </w:r>
          </w:p>
        </w:tc>
        <w:tc>
          <w:tcPr>
            <w:tcW w:w="1091" w:type="dxa"/>
            <w:vAlign w:val="center"/>
          </w:tcPr>
          <w:p>
            <w:pPr>
              <w:pStyle w:val="37"/>
              <w:rPr>
                <w:rFonts w:hint="default" w:ascii="Times New Roman" w:hAnsi="Times New Roman" w:cs="Times New Roman" w:eastAsiaTheme="minorEastAsia"/>
                <w:color w:val="auto"/>
                <w:spacing w:val="0"/>
                <w:szCs w:val="24"/>
              </w:rPr>
            </w:pPr>
            <w:r>
              <w:rPr>
                <w:rFonts w:hint="default" w:ascii="Times New Roman" w:hAnsi="Times New Roman" w:cs="Times New Roman" w:eastAsiaTheme="minorEastAsia"/>
                <w:color w:val="auto"/>
                <w:spacing w:val="0"/>
                <w:szCs w:val="24"/>
              </w:rPr>
              <w:t>0.00</w:t>
            </w:r>
            <w:r>
              <w:rPr>
                <w:rFonts w:hint="default" w:ascii="Times New Roman" w:hAnsi="Times New Roman" w:cs="Times New Roman" w:eastAsiaTheme="minorEastAsia"/>
                <w:color w:val="auto"/>
                <w:spacing w:val="0"/>
                <w:szCs w:val="24"/>
                <w:lang w:val="en-US" w:eastAsia="zh-CN"/>
              </w:rPr>
              <w:t>09</w:t>
            </w:r>
          </w:p>
        </w:tc>
        <w:tc>
          <w:tcPr>
            <w:tcW w:w="1228" w:type="dxa"/>
            <w:vAlign w:val="center"/>
          </w:tcPr>
          <w:p>
            <w:pPr>
              <w:pStyle w:val="37"/>
              <w:rPr>
                <w:rFonts w:hint="default" w:ascii="Times New Roman" w:hAnsi="Times New Roman" w:cs="Times New Roman" w:eastAsiaTheme="minorEastAsia"/>
                <w:color w:val="auto"/>
                <w:spacing w:val="0"/>
                <w:szCs w:val="24"/>
              </w:rPr>
            </w:pPr>
            <w:r>
              <w:rPr>
                <w:rFonts w:hint="default" w:ascii="Times New Roman" w:hAnsi="Times New Roman" w:cs="Times New Roman" w:eastAsiaTheme="minorEastAsia"/>
                <w:color w:val="auto"/>
                <w:spacing w:val="0"/>
                <w:szCs w:val="24"/>
              </w:rPr>
              <w:t>0.05</w:t>
            </w:r>
          </w:p>
        </w:tc>
        <w:tc>
          <w:tcPr>
            <w:tcW w:w="1077" w:type="dxa"/>
            <w:vAlign w:val="center"/>
          </w:tcPr>
          <w:p>
            <w:pPr>
              <w:pStyle w:val="37"/>
              <w:rPr>
                <w:rFonts w:hint="default" w:ascii="Times New Roman" w:hAnsi="Times New Roman" w:cs="Times New Roman" w:eastAsiaTheme="minorEastAsia"/>
                <w:color w:val="auto"/>
                <w:spacing w:val="0"/>
                <w:szCs w:val="24"/>
                <w:lang w:eastAsia="zh-CN"/>
              </w:rPr>
            </w:pPr>
            <w:r>
              <w:rPr>
                <w:rFonts w:hint="default" w:ascii="Times New Roman" w:hAnsi="Times New Roman" w:cs="Times New Roman" w:eastAsiaTheme="minorEastAsia"/>
                <w:color w:val="auto"/>
                <w:spacing w:val="0"/>
                <w:szCs w:val="24"/>
                <w:lang w:val="en-US" w:eastAsia="zh-CN"/>
              </w:rPr>
              <w:t>2400</w:t>
            </w:r>
          </w:p>
        </w:tc>
        <w:tc>
          <w:tcPr>
            <w:tcW w:w="1070" w:type="dxa"/>
            <w:vAlign w:val="center"/>
          </w:tcPr>
          <w:p>
            <w:pPr>
              <w:snapToGrid w:val="0"/>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sz w:val="24"/>
                <w:lang w:val="en-US" w:eastAsia="zh-CN"/>
              </w:rPr>
              <w:t>10</w:t>
            </w:r>
          </w:p>
        </w:tc>
        <w:tc>
          <w:tcPr>
            <w:tcW w:w="1240" w:type="dxa"/>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54" w:type="dxa"/>
            <w:vAlign w:val="center"/>
          </w:tcPr>
          <w:p>
            <w:pPr>
              <w:pStyle w:val="37"/>
              <w:rPr>
                <w:rFonts w:hint="default" w:ascii="Times New Roman" w:hAnsi="Times New Roman" w:cs="Times New Roman" w:eastAsiaTheme="minorEastAsia"/>
                <w:color w:val="auto"/>
                <w:spacing w:val="0"/>
                <w:szCs w:val="24"/>
                <w:lang w:val="en-US" w:eastAsia="zh-CN"/>
              </w:rPr>
            </w:pPr>
            <w:r>
              <w:rPr>
                <w:rFonts w:hint="default" w:ascii="Times New Roman" w:hAnsi="Times New Roman" w:cs="Times New Roman" w:eastAsiaTheme="minorEastAsia"/>
                <w:color w:val="auto"/>
                <w:spacing w:val="0"/>
                <w:szCs w:val="24"/>
                <w:lang w:val="en-US" w:eastAsia="zh-CN"/>
              </w:rPr>
              <w:t>封蜡工段</w:t>
            </w:r>
          </w:p>
        </w:tc>
        <w:tc>
          <w:tcPr>
            <w:tcW w:w="1363" w:type="dxa"/>
            <w:vAlign w:val="center"/>
          </w:tcPr>
          <w:p>
            <w:pPr>
              <w:pStyle w:val="37"/>
              <w:rPr>
                <w:rFonts w:hint="default" w:ascii="Times New Roman" w:hAnsi="Times New Roman" w:cs="Times New Roman" w:eastAsiaTheme="minorEastAsia"/>
                <w:color w:val="auto"/>
                <w:spacing w:val="0"/>
                <w:szCs w:val="24"/>
              </w:rPr>
            </w:pPr>
            <w:r>
              <w:rPr>
                <w:rFonts w:hint="default" w:ascii="Times New Roman" w:hAnsi="Times New Roman" w:cs="Times New Roman" w:eastAsiaTheme="minorEastAsia"/>
                <w:color w:val="auto"/>
                <w:spacing w:val="0"/>
                <w:szCs w:val="24"/>
                <w:lang w:val="en-US" w:eastAsia="zh-CN"/>
              </w:rPr>
              <w:t>非甲烷总烃</w:t>
            </w:r>
          </w:p>
        </w:tc>
        <w:tc>
          <w:tcPr>
            <w:tcW w:w="1091" w:type="dxa"/>
            <w:vAlign w:val="center"/>
          </w:tcPr>
          <w:p>
            <w:pPr>
              <w:pStyle w:val="37"/>
              <w:rPr>
                <w:rFonts w:hint="default" w:ascii="Times New Roman" w:hAnsi="Times New Roman" w:cs="Times New Roman" w:eastAsiaTheme="minorEastAsia"/>
                <w:color w:val="auto"/>
                <w:spacing w:val="0"/>
                <w:szCs w:val="24"/>
              </w:rPr>
            </w:pPr>
            <w:r>
              <w:rPr>
                <w:rFonts w:hint="default" w:ascii="Times New Roman" w:hAnsi="Times New Roman" w:cs="Times New Roman" w:eastAsiaTheme="minorEastAsia"/>
                <w:color w:val="auto"/>
                <w:spacing w:val="0"/>
                <w:szCs w:val="24"/>
              </w:rPr>
              <w:t>0.00</w:t>
            </w:r>
            <w:r>
              <w:rPr>
                <w:rFonts w:hint="default" w:ascii="Times New Roman" w:hAnsi="Times New Roman" w:cs="Times New Roman" w:eastAsiaTheme="minorEastAsia"/>
                <w:color w:val="auto"/>
                <w:spacing w:val="0"/>
                <w:szCs w:val="24"/>
                <w:lang w:val="en-US" w:eastAsia="zh-CN"/>
              </w:rPr>
              <w:t>02</w:t>
            </w:r>
          </w:p>
        </w:tc>
        <w:tc>
          <w:tcPr>
            <w:tcW w:w="1228" w:type="dxa"/>
            <w:vAlign w:val="center"/>
          </w:tcPr>
          <w:p>
            <w:pPr>
              <w:pStyle w:val="37"/>
              <w:rPr>
                <w:rFonts w:hint="default" w:ascii="Times New Roman" w:hAnsi="Times New Roman" w:cs="Times New Roman" w:eastAsiaTheme="minorEastAsia"/>
                <w:color w:val="auto"/>
                <w:spacing w:val="0"/>
                <w:szCs w:val="24"/>
                <w:lang w:val="en-US" w:eastAsia="zh-CN"/>
              </w:rPr>
            </w:pPr>
            <w:r>
              <w:rPr>
                <w:rFonts w:hint="default" w:ascii="Times New Roman" w:hAnsi="Times New Roman" w:cs="Times New Roman" w:eastAsiaTheme="minorEastAsia"/>
                <w:color w:val="auto"/>
                <w:spacing w:val="0"/>
                <w:szCs w:val="24"/>
                <w:lang w:val="en-US" w:eastAsia="zh-CN"/>
              </w:rPr>
              <w:t>2.0</w:t>
            </w:r>
          </w:p>
        </w:tc>
        <w:tc>
          <w:tcPr>
            <w:tcW w:w="1077" w:type="dxa"/>
            <w:textDirection w:val="lrTb"/>
            <w:vAlign w:val="center"/>
          </w:tcPr>
          <w:p>
            <w:pPr>
              <w:pStyle w:val="37"/>
              <w:rPr>
                <w:rFonts w:hint="default" w:ascii="Times New Roman" w:hAnsi="Times New Roman" w:cs="Times New Roman" w:eastAsiaTheme="minorEastAsia"/>
                <w:color w:val="auto"/>
                <w:spacing w:val="0"/>
                <w:szCs w:val="24"/>
              </w:rPr>
            </w:pPr>
            <w:r>
              <w:rPr>
                <w:rFonts w:hint="default" w:ascii="Times New Roman" w:hAnsi="Times New Roman" w:cs="Times New Roman" w:eastAsiaTheme="minorEastAsia"/>
                <w:color w:val="auto"/>
                <w:spacing w:val="0"/>
                <w:szCs w:val="24"/>
                <w:lang w:val="en-US" w:eastAsia="zh-CN"/>
              </w:rPr>
              <w:t>2400</w:t>
            </w:r>
          </w:p>
        </w:tc>
        <w:tc>
          <w:tcPr>
            <w:tcW w:w="1070" w:type="dxa"/>
            <w:textDirection w:val="lrTb"/>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en-US" w:eastAsia="zh-CN"/>
              </w:rPr>
              <w:t>10</w:t>
            </w:r>
          </w:p>
        </w:tc>
        <w:tc>
          <w:tcPr>
            <w:tcW w:w="1240" w:type="dxa"/>
            <w:textDirection w:val="lrTb"/>
            <w:vAlign w:val="center"/>
          </w:tcPr>
          <w:p>
            <w:pPr>
              <w:snapToGrid w:val="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t>无超标点</w:t>
            </w:r>
          </w:p>
        </w:tc>
      </w:tr>
    </w:tbl>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由计算结果可知，本项目各无组织排放源的污染物大气环境防护距离结果为均为无超标点，无组织排放的污染物浓度均在厂界能实现达标排放，不需设置大气环境防护距离。</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（2）大气卫生防护距离</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参照《制定地方大气污染物排放标准的技术方法》（GB13201-91），卫生防护距离的计算公式如下：</w:t>
      </w:r>
    </w:p>
    <w:p>
      <w:pPr>
        <w:spacing w:line="360" w:lineRule="auto"/>
        <w:ind w:firstLine="720" w:firstLineChars="30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position w:val="-30"/>
          <w:sz w:val="24"/>
        </w:rPr>
        <w:object>
          <v:shape id="_x0000_i1031" o:spt="75" type="#_x0000_t75" style="height:32.25pt;width:131.25pt;" o:ole="t" filled="f" o:preferrelative="t" stroked="f" coordsize="21600,21600">
            <v:path/>
            <v:fill on="f" focussize="0,0"/>
            <v:stroke on="f" joinstyle="miter"/>
            <v:imagedata r:id="rId17" o:title=""/>
            <o:lock v:ext="edit" aspectratio="t"/>
            <w10:wrap type="none"/>
            <w10:anchorlock/>
          </v:shape>
          <o:OLEObject Type="Embed" ProgID="Equation.3" ShapeID="_x0000_i1031" DrawAspect="Content" ObjectID="_1468075725" r:id="rId16">
            <o:LockedField>false</o:LockedField>
          </o:OLEObject>
        </w:object>
      </w:r>
    </w:p>
    <w:p>
      <w:pPr>
        <w:spacing w:line="360" w:lineRule="auto"/>
        <w:ind w:firstLine="840" w:firstLine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式中： </w:t>
      </w:r>
    </w:p>
    <w:p>
      <w:pPr>
        <w:spacing w:line="360" w:lineRule="auto"/>
        <w:ind w:firstLine="840" w:firstLineChars="300"/>
        <w:rPr>
          <w:rFonts w:hint="eastAsia" w:asciiTheme="minorEastAsia" w:hAnsiTheme="minorEastAsia" w:eastAsiaTheme="minorEastAsia" w:cstheme="minorEastAsia"/>
          <w:spacing w:val="-10"/>
          <w:sz w:val="28"/>
          <w:szCs w:val="28"/>
        </w:rPr>
      </w:pPr>
      <w:r>
        <w:rPr>
          <w:rFonts w:hint="eastAsia" w:asciiTheme="minorEastAsia" w:hAnsiTheme="minorEastAsia" w:eastAsiaTheme="minorEastAsia" w:cstheme="minorEastAsia"/>
          <w:i/>
          <w:sz w:val="28"/>
          <w:szCs w:val="28"/>
        </w:rPr>
        <w:t>Q</w:t>
      </w:r>
      <w:r>
        <w:rPr>
          <w:rFonts w:hint="eastAsia" w:asciiTheme="minorEastAsia" w:hAnsiTheme="minorEastAsia" w:eastAsiaTheme="minorEastAsia" w:cstheme="minorEastAsia"/>
          <w:i/>
          <w:sz w:val="28"/>
          <w:szCs w:val="28"/>
          <w:vertAlign w:val="subscript"/>
        </w:rPr>
        <w:t>c</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pacing w:val="-10"/>
          <w:sz w:val="28"/>
          <w:szCs w:val="28"/>
        </w:rPr>
        <w:t>工业企业有害气体无组织排放量可以达到的控制水平，kg/h；</w:t>
      </w:r>
    </w:p>
    <w:p>
      <w:pPr>
        <w:spacing w:line="360" w:lineRule="auto"/>
        <w:ind w:firstLine="840" w:firstLine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sz w:val="28"/>
          <w:szCs w:val="28"/>
        </w:rPr>
        <w:t>C</w:t>
      </w:r>
      <w:r>
        <w:rPr>
          <w:rFonts w:hint="eastAsia" w:asciiTheme="minorEastAsia" w:hAnsiTheme="minorEastAsia" w:eastAsiaTheme="minorEastAsia" w:cstheme="minorEastAsia"/>
          <w:i/>
          <w:sz w:val="28"/>
          <w:szCs w:val="28"/>
          <w:vertAlign w:val="subscript"/>
        </w:rPr>
        <w:t>m</w:t>
      </w:r>
      <w:r>
        <w:rPr>
          <w:rFonts w:hint="eastAsia" w:asciiTheme="minorEastAsia" w:hAnsiTheme="minorEastAsia" w:eastAsiaTheme="minorEastAsia" w:cstheme="minorEastAsia"/>
          <w:sz w:val="28"/>
          <w:szCs w:val="28"/>
        </w:rPr>
        <w:t>——标准浓度限值，mg/m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 xml:space="preserve">； </w:t>
      </w:r>
    </w:p>
    <w:p>
      <w:pPr>
        <w:spacing w:line="360" w:lineRule="auto"/>
        <w:ind w:firstLine="840" w:firstLine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sz w:val="28"/>
          <w:szCs w:val="28"/>
        </w:rPr>
        <w:t>L</w:t>
      </w:r>
      <w:r>
        <w:rPr>
          <w:rFonts w:hint="eastAsia" w:asciiTheme="minorEastAsia" w:hAnsiTheme="minorEastAsia" w:eastAsiaTheme="minorEastAsia" w:cstheme="minorEastAsia"/>
          <w:sz w:val="28"/>
          <w:szCs w:val="28"/>
        </w:rPr>
        <w:t xml:space="preserve">——工业企业所需卫生防护距离，m； </w:t>
      </w:r>
    </w:p>
    <w:p>
      <w:pPr>
        <w:spacing w:line="360" w:lineRule="auto"/>
        <w:ind w:firstLine="840" w:firstLine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sz w:val="28"/>
          <w:szCs w:val="28"/>
        </w:rPr>
        <w:t>R</w:t>
      </w:r>
      <w:r>
        <w:rPr>
          <w:rFonts w:hint="eastAsia" w:asciiTheme="minorEastAsia" w:hAnsiTheme="minorEastAsia" w:eastAsiaTheme="minorEastAsia" w:cstheme="minorEastAsia"/>
          <w:sz w:val="28"/>
          <w:szCs w:val="28"/>
        </w:rPr>
        <w:t>——有害气体无组织排放源所在生产单元的等效半径，m；</w:t>
      </w:r>
    </w:p>
    <w:p>
      <w:pPr>
        <w:spacing w:line="360" w:lineRule="auto"/>
        <w:ind w:firstLine="828" w:firstLineChars="300"/>
        <w:rPr>
          <w:rFonts w:hint="eastAsia" w:asciiTheme="minorEastAsia" w:hAnsiTheme="minorEastAsia" w:eastAsiaTheme="minorEastAsia" w:cstheme="minorEastAsia"/>
          <w:spacing w:val="-2"/>
          <w:sz w:val="28"/>
          <w:szCs w:val="28"/>
        </w:rPr>
      </w:pPr>
      <w:r>
        <w:rPr>
          <w:rFonts w:hint="eastAsia" w:asciiTheme="minorEastAsia" w:hAnsiTheme="minorEastAsia" w:eastAsiaTheme="minorEastAsia" w:cstheme="minorEastAsia"/>
          <w:i/>
          <w:spacing w:val="-2"/>
          <w:sz w:val="28"/>
          <w:szCs w:val="28"/>
        </w:rPr>
        <w:t>A、B、C、D</w:t>
      </w:r>
      <w:r>
        <w:rPr>
          <w:rFonts w:hint="eastAsia" w:asciiTheme="minorEastAsia" w:hAnsiTheme="minorEastAsia" w:eastAsiaTheme="minorEastAsia" w:cstheme="minorEastAsia"/>
          <w:spacing w:val="-2"/>
          <w:sz w:val="28"/>
          <w:szCs w:val="28"/>
        </w:rPr>
        <w:t>——卫生防护距离计算系数，无因次，根据工业企业所在地区近五年平均风速及工业企业大气污染源构成类别从表查取。</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该地区的平均风速为2.9m/s。按照无组织废气源强参数表，根据《制定地方大气污染物排放标准的技术方法》（GB/T13201-91）的有关规定，计算卫生防护距离，各参数取值见表4.4-2。</w:t>
      </w: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表4.4-2  卫生防护距离计算参数</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80"/>
        <w:gridCol w:w="694"/>
        <w:gridCol w:w="696"/>
        <w:gridCol w:w="696"/>
        <w:gridCol w:w="696"/>
        <w:gridCol w:w="694"/>
        <w:gridCol w:w="698"/>
        <w:gridCol w:w="694"/>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restart"/>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计算系数</w:t>
            </w:r>
          </w:p>
        </w:tc>
        <w:tc>
          <w:tcPr>
            <w:tcW w:w="1080" w:type="dxa"/>
            <w:vMerge w:val="restart"/>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5年平均风速，m/s</w:t>
            </w:r>
          </w:p>
        </w:tc>
        <w:tc>
          <w:tcPr>
            <w:tcW w:w="6260" w:type="dxa"/>
            <w:gridSpan w:val="9"/>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卫生防护距离L（m）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Merge w:val="continue"/>
            <w:vAlign w:val="center"/>
          </w:tcPr>
          <w:p>
            <w:pPr>
              <w:jc w:val="center"/>
              <w:rPr>
                <w:rFonts w:hint="eastAsia" w:asciiTheme="minorEastAsia" w:hAnsiTheme="minorEastAsia" w:eastAsiaTheme="minorEastAsia" w:cstheme="minorEastAsia"/>
                <w:sz w:val="24"/>
              </w:rPr>
            </w:pP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L≤1000</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1000＜L≤2000</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Merge w:val="continue"/>
            <w:vAlign w:val="center"/>
          </w:tcPr>
          <w:p>
            <w:pPr>
              <w:jc w:val="center"/>
              <w:rPr>
                <w:rFonts w:hint="eastAsia" w:asciiTheme="minorEastAsia" w:hAnsiTheme="minorEastAsia" w:eastAsiaTheme="minorEastAsia" w:cstheme="minorEastAsia"/>
                <w:sz w:val="24"/>
              </w:rPr>
            </w:pPr>
          </w:p>
        </w:tc>
        <w:tc>
          <w:tcPr>
            <w:tcW w:w="6260" w:type="dxa"/>
            <w:gridSpan w:val="9"/>
            <w:vAlign w:val="center"/>
          </w:tcPr>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工业大气污染源构成类别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Merge w:val="continue"/>
            <w:vAlign w:val="center"/>
          </w:tcPr>
          <w:p>
            <w:pPr>
              <w:jc w:val="center"/>
              <w:rPr>
                <w:rFonts w:hint="eastAsia" w:asciiTheme="minorEastAsia" w:hAnsiTheme="minorEastAsia" w:eastAsiaTheme="minorEastAsia" w:cstheme="minorEastAsia"/>
                <w:sz w:val="24"/>
              </w:rPr>
            </w:pP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Ⅰ</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Ⅱ</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Ⅲ</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Ⅰ</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Ⅱ</w:t>
            </w:r>
          </w:p>
        </w:tc>
        <w:tc>
          <w:tcPr>
            <w:tcW w:w="6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Ⅲ</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Ⅰ</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Ⅱ</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A</w:t>
            </w: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&lt;2</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400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400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400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400</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400</w:t>
            </w:r>
          </w:p>
        </w:tc>
        <w:tc>
          <w:tcPr>
            <w:tcW w:w="6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400</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2-4</w:t>
            </w:r>
          </w:p>
        </w:tc>
        <w:tc>
          <w:tcPr>
            <w:tcW w:w="694" w:type="dxa"/>
            <w:shd w:val="clear" w:color="auto" w:fill="auto"/>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700</w:t>
            </w:r>
          </w:p>
        </w:tc>
        <w:tc>
          <w:tcPr>
            <w:tcW w:w="696" w:type="dxa"/>
            <w:shd w:val="clear" w:color="auto" w:fill="FFFFFF"/>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470</w:t>
            </w:r>
          </w:p>
        </w:tc>
        <w:tc>
          <w:tcPr>
            <w:tcW w:w="696" w:type="dxa"/>
            <w:shd w:val="clear" w:color="auto" w:fill="A4A4A4" w:themeFill="background1" w:themeFillShade="A5"/>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350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700</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470</w:t>
            </w:r>
          </w:p>
        </w:tc>
        <w:tc>
          <w:tcPr>
            <w:tcW w:w="6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350</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380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250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&gt;4</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530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350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260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530</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350</w:t>
            </w:r>
          </w:p>
        </w:tc>
        <w:tc>
          <w:tcPr>
            <w:tcW w:w="6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260</w:t>
            </w:r>
          </w:p>
        </w:tc>
        <w:tc>
          <w:tcPr>
            <w:tcW w:w="69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290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190</w:t>
            </w:r>
          </w:p>
        </w:tc>
        <w:tc>
          <w:tcPr>
            <w:tcW w:w="69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B</w:t>
            </w: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&lt;2</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0.01</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0.015</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&gt;2</w:t>
            </w:r>
          </w:p>
        </w:tc>
        <w:tc>
          <w:tcPr>
            <w:tcW w:w="2086" w:type="dxa"/>
            <w:gridSpan w:val="3"/>
            <w:shd w:val="clear" w:color="auto" w:fill="B3B3B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0.021</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0.036</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C</w:t>
            </w: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&lt;2</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1.85</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1.79</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&gt;2</w:t>
            </w:r>
          </w:p>
        </w:tc>
        <w:tc>
          <w:tcPr>
            <w:tcW w:w="2086" w:type="dxa"/>
            <w:gridSpan w:val="3"/>
            <w:shd w:val="clear" w:color="auto" w:fill="B3B3B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1.85</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1.77</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D</w:t>
            </w: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&lt;2</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0.78</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0.78</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88" w:type="dxa"/>
            <w:vMerge w:val="continue"/>
            <w:vAlign w:val="center"/>
          </w:tcPr>
          <w:p>
            <w:pPr>
              <w:jc w:val="center"/>
              <w:rPr>
                <w:rFonts w:hint="eastAsia" w:asciiTheme="minorEastAsia" w:hAnsiTheme="minorEastAsia" w:eastAsiaTheme="minorEastAsia" w:cstheme="minorEastAsia"/>
                <w:sz w:val="24"/>
              </w:rPr>
            </w:pPr>
          </w:p>
        </w:tc>
        <w:tc>
          <w:tcPr>
            <w:tcW w:w="1080"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&gt;2</w:t>
            </w:r>
          </w:p>
        </w:tc>
        <w:tc>
          <w:tcPr>
            <w:tcW w:w="2086" w:type="dxa"/>
            <w:gridSpan w:val="3"/>
            <w:shd w:val="clear" w:color="auto" w:fill="B3B3B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0.84</w:t>
            </w:r>
          </w:p>
        </w:tc>
        <w:tc>
          <w:tcPr>
            <w:tcW w:w="2088"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0.84</w:t>
            </w:r>
          </w:p>
        </w:tc>
        <w:tc>
          <w:tcPr>
            <w:tcW w:w="2086"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0.76</w:t>
            </w:r>
          </w:p>
        </w:tc>
      </w:tr>
    </w:tbl>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注：标注底纹的为建设项目计算取值。</w:t>
      </w:r>
    </w:p>
    <w:p>
      <w:pPr>
        <w:spacing w:before="120" w:beforeLines="50" w:line="360" w:lineRule="auto"/>
        <w:ind w:firstLine="560" w:firstLineChars="20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sz w:val="28"/>
          <w:szCs w:val="28"/>
        </w:rPr>
        <w:t>经计算，本项目的卫生防护距离计算结果详见表4.4-3所示。</w:t>
      </w: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表4.4-3  卫生防护距离计算结果</w:t>
      </w:r>
    </w:p>
    <w:tbl>
      <w:tblPr>
        <w:tblStyle w:val="20"/>
        <w:tblW w:w="85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1"/>
        <w:gridCol w:w="1126"/>
        <w:gridCol w:w="849"/>
        <w:gridCol w:w="849"/>
        <w:gridCol w:w="854"/>
        <w:gridCol w:w="515"/>
        <w:gridCol w:w="685"/>
        <w:gridCol w:w="685"/>
        <w:gridCol w:w="686"/>
        <w:gridCol w:w="686"/>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8" w:hRule="atLeast"/>
          <w:jc w:val="center"/>
        </w:trPr>
        <w:tc>
          <w:tcPr>
            <w:tcW w:w="1031"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污染源</w:t>
            </w:r>
          </w:p>
        </w:tc>
        <w:tc>
          <w:tcPr>
            <w:tcW w:w="1126"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污染物名称</w:t>
            </w:r>
          </w:p>
        </w:tc>
        <w:tc>
          <w:tcPr>
            <w:tcW w:w="849"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面源</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面积</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(m</w:t>
            </w:r>
            <w:r>
              <w:rPr>
                <w:rFonts w:hint="default" w:ascii="Times New Roman" w:hAnsi="Times New Roman" w:cs="Times New Roman" w:eastAsiaTheme="minorEastAsia"/>
                <w:szCs w:val="21"/>
                <w:vertAlign w:val="superscript"/>
              </w:rPr>
              <w:t>2</w:t>
            </w:r>
            <w:r>
              <w:rPr>
                <w:rFonts w:hint="default" w:ascii="Times New Roman" w:hAnsi="Times New Roman" w:cs="Times New Roman" w:eastAsiaTheme="minorEastAsia"/>
                <w:szCs w:val="21"/>
              </w:rPr>
              <w:t>)</w:t>
            </w:r>
          </w:p>
        </w:tc>
        <w:tc>
          <w:tcPr>
            <w:tcW w:w="849" w:type="dxa"/>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排放</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源强(kg/h)</w:t>
            </w:r>
          </w:p>
        </w:tc>
        <w:tc>
          <w:tcPr>
            <w:tcW w:w="3425" w:type="dxa"/>
            <w:gridSpan w:val="5"/>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计算参数</w:t>
            </w:r>
          </w:p>
        </w:tc>
        <w:tc>
          <w:tcPr>
            <w:tcW w:w="1232" w:type="dxa"/>
            <w:gridSpan w:val="2"/>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计算结果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5" w:hRule="atLeast"/>
          <w:jc w:val="center"/>
        </w:trPr>
        <w:tc>
          <w:tcPr>
            <w:tcW w:w="1031" w:type="dxa"/>
            <w:vMerge w:val="continue"/>
            <w:vAlign w:val="center"/>
          </w:tcPr>
          <w:p>
            <w:pPr>
              <w:jc w:val="center"/>
              <w:rPr>
                <w:rFonts w:hint="default" w:ascii="Times New Roman" w:hAnsi="Times New Roman" w:cs="Times New Roman" w:eastAsiaTheme="minorEastAsia"/>
                <w:szCs w:val="21"/>
              </w:rPr>
            </w:pPr>
          </w:p>
        </w:tc>
        <w:tc>
          <w:tcPr>
            <w:tcW w:w="1126" w:type="dxa"/>
            <w:vMerge w:val="continue"/>
            <w:vAlign w:val="center"/>
          </w:tcPr>
          <w:p>
            <w:pPr>
              <w:jc w:val="center"/>
              <w:rPr>
                <w:rFonts w:hint="default" w:ascii="Times New Roman" w:hAnsi="Times New Roman" w:cs="Times New Roman" w:eastAsiaTheme="minorEastAsia"/>
                <w:szCs w:val="21"/>
              </w:rPr>
            </w:pPr>
          </w:p>
        </w:tc>
        <w:tc>
          <w:tcPr>
            <w:tcW w:w="849" w:type="dxa"/>
            <w:vMerge w:val="continue"/>
            <w:vAlign w:val="center"/>
          </w:tcPr>
          <w:p>
            <w:pPr>
              <w:jc w:val="center"/>
              <w:rPr>
                <w:rFonts w:hint="default" w:ascii="Times New Roman" w:hAnsi="Times New Roman" w:cs="Times New Roman" w:eastAsiaTheme="minorEastAsia"/>
                <w:szCs w:val="21"/>
              </w:rPr>
            </w:pPr>
          </w:p>
        </w:tc>
        <w:tc>
          <w:tcPr>
            <w:tcW w:w="849" w:type="dxa"/>
            <w:vMerge w:val="continue"/>
            <w:vAlign w:val="center"/>
          </w:tcPr>
          <w:p>
            <w:pPr>
              <w:jc w:val="center"/>
              <w:rPr>
                <w:rFonts w:hint="default" w:ascii="Times New Roman" w:hAnsi="Times New Roman" w:cs="Times New Roman" w:eastAsiaTheme="minorEastAsia"/>
                <w:szCs w:val="21"/>
              </w:rPr>
            </w:pPr>
          </w:p>
        </w:tc>
        <w:tc>
          <w:tcPr>
            <w:tcW w:w="854" w:type="dxa"/>
            <w:vAlign w:val="center"/>
          </w:tcPr>
          <w:p>
            <w:pPr>
              <w:jc w:val="center"/>
              <w:rPr>
                <w:rFonts w:hint="default" w:ascii="Times New Roman" w:hAnsi="Times New Roman" w:cs="Times New Roman" w:eastAsiaTheme="minorEastAsia"/>
                <w:i/>
                <w:szCs w:val="21"/>
                <w:vertAlign w:val="subscript"/>
              </w:rPr>
            </w:pPr>
            <w:r>
              <w:rPr>
                <w:rFonts w:hint="default" w:ascii="Times New Roman" w:hAnsi="Times New Roman" w:cs="Times New Roman" w:eastAsiaTheme="minorEastAsia"/>
                <w:i/>
                <w:szCs w:val="21"/>
              </w:rPr>
              <w:t>C</w:t>
            </w:r>
            <w:r>
              <w:rPr>
                <w:rFonts w:hint="default" w:ascii="Times New Roman" w:hAnsi="Times New Roman" w:cs="Times New Roman" w:eastAsiaTheme="minorEastAsia"/>
                <w:i/>
                <w:szCs w:val="21"/>
                <w:vertAlign w:val="subscript"/>
              </w:rPr>
              <w:t>0</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(mg/m</w:t>
            </w:r>
            <w:r>
              <w:rPr>
                <w:rFonts w:hint="default" w:ascii="Times New Roman" w:hAnsi="Times New Roman" w:cs="Times New Roman" w:eastAsiaTheme="minorEastAsia"/>
                <w:szCs w:val="21"/>
                <w:vertAlign w:val="superscript"/>
              </w:rPr>
              <w:t>3</w:t>
            </w:r>
            <w:r>
              <w:rPr>
                <w:rFonts w:hint="default" w:ascii="Times New Roman" w:hAnsi="Times New Roman" w:cs="Times New Roman" w:eastAsiaTheme="minorEastAsia"/>
                <w:szCs w:val="21"/>
              </w:rPr>
              <w:t>)</w:t>
            </w:r>
          </w:p>
        </w:tc>
        <w:tc>
          <w:tcPr>
            <w:tcW w:w="51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A</w:t>
            </w:r>
          </w:p>
        </w:tc>
        <w:tc>
          <w:tcPr>
            <w:tcW w:w="6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B</w:t>
            </w:r>
          </w:p>
        </w:tc>
        <w:tc>
          <w:tcPr>
            <w:tcW w:w="6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C</w:t>
            </w:r>
          </w:p>
        </w:tc>
        <w:tc>
          <w:tcPr>
            <w:tcW w:w="68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D</w:t>
            </w:r>
          </w:p>
        </w:tc>
        <w:tc>
          <w:tcPr>
            <w:tcW w:w="68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计算值</w:t>
            </w:r>
          </w:p>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(m)</w:t>
            </w:r>
          </w:p>
        </w:tc>
        <w:tc>
          <w:tcPr>
            <w:tcW w:w="54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取值(m)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1" w:hRule="atLeast"/>
          <w:jc w:val="center"/>
        </w:trPr>
        <w:tc>
          <w:tcPr>
            <w:tcW w:w="1031" w:type="dxa"/>
            <w:textDirection w:val="lrTb"/>
            <w:vAlign w:val="center"/>
          </w:tcPr>
          <w:p>
            <w:pPr>
              <w:jc w:val="center"/>
              <w:rPr>
                <w:rFonts w:hint="default" w:ascii="Times New Roman" w:hAnsi="Times New Roman" w:cs="Times New Roman" w:eastAsiaTheme="minorEastAsia"/>
                <w:szCs w:val="21"/>
              </w:rPr>
            </w:pPr>
            <w:r>
              <w:rPr>
                <w:rFonts w:hint="eastAsia" w:cs="Times New Roman" w:eastAsiaTheme="minorEastAsia"/>
                <w:szCs w:val="21"/>
                <w:lang w:val="en-US" w:eastAsia="zh-CN"/>
              </w:rPr>
              <w:t>上胶</w:t>
            </w:r>
            <w:r>
              <w:rPr>
                <w:rFonts w:hint="default" w:ascii="Times New Roman" w:hAnsi="Times New Roman" w:cs="Times New Roman" w:eastAsiaTheme="minorEastAsia"/>
                <w:szCs w:val="21"/>
                <w:lang w:val="en-US" w:eastAsia="zh-CN"/>
              </w:rPr>
              <w:t>工段</w:t>
            </w:r>
          </w:p>
        </w:tc>
        <w:tc>
          <w:tcPr>
            <w:tcW w:w="1126"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甲醛</w:t>
            </w:r>
          </w:p>
        </w:tc>
        <w:tc>
          <w:tcPr>
            <w:tcW w:w="84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2400</w:t>
            </w:r>
          </w:p>
        </w:tc>
        <w:tc>
          <w:tcPr>
            <w:tcW w:w="849"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0.00</w:t>
            </w:r>
            <w:r>
              <w:rPr>
                <w:rFonts w:hint="default" w:ascii="Times New Roman" w:hAnsi="Times New Roman" w:cs="Times New Roman" w:eastAsiaTheme="minorEastAsia"/>
                <w:szCs w:val="21"/>
                <w:lang w:val="en-US" w:eastAsia="zh-CN"/>
              </w:rPr>
              <w:t>09</w:t>
            </w:r>
          </w:p>
        </w:tc>
        <w:tc>
          <w:tcPr>
            <w:tcW w:w="854"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0.05</w:t>
            </w:r>
          </w:p>
        </w:tc>
        <w:tc>
          <w:tcPr>
            <w:tcW w:w="515" w:type="dxa"/>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350</w:t>
            </w:r>
          </w:p>
        </w:tc>
        <w:tc>
          <w:tcPr>
            <w:tcW w:w="6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0.021</w:t>
            </w:r>
          </w:p>
        </w:tc>
        <w:tc>
          <w:tcPr>
            <w:tcW w:w="685"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1.85</w:t>
            </w:r>
          </w:p>
        </w:tc>
        <w:tc>
          <w:tcPr>
            <w:tcW w:w="68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0.84</w:t>
            </w:r>
          </w:p>
        </w:tc>
        <w:tc>
          <w:tcPr>
            <w:tcW w:w="686" w:type="dxa"/>
            <w:vAlign w:val="center"/>
          </w:tcPr>
          <w:p>
            <w:pPr>
              <w:jc w:val="center"/>
              <w:rPr>
                <w:rFonts w:hint="default" w:ascii="Times New Roman" w:hAnsi="Times New Roman" w:cs="Times New Roman" w:eastAsiaTheme="minorEastAsia"/>
                <w:szCs w:val="21"/>
                <w:lang w:eastAsia="zh-CN"/>
              </w:rPr>
            </w:pPr>
            <w:r>
              <w:rPr>
                <w:rFonts w:hint="eastAsia" w:cs="Times New Roman" w:eastAsiaTheme="minorEastAsia"/>
                <w:szCs w:val="21"/>
                <w:lang w:val="en-US" w:eastAsia="zh-CN"/>
              </w:rPr>
              <w:t>0.392</w:t>
            </w:r>
          </w:p>
        </w:tc>
        <w:tc>
          <w:tcPr>
            <w:tcW w:w="546"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1" w:hRule="atLeast"/>
          <w:jc w:val="center"/>
        </w:trPr>
        <w:tc>
          <w:tcPr>
            <w:tcW w:w="1031"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封蜡工段</w:t>
            </w:r>
          </w:p>
        </w:tc>
        <w:tc>
          <w:tcPr>
            <w:tcW w:w="1126"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lang w:val="en-US" w:eastAsia="zh-CN"/>
              </w:rPr>
              <w:t>非甲烷总烃</w:t>
            </w:r>
          </w:p>
        </w:tc>
        <w:tc>
          <w:tcPr>
            <w:tcW w:w="849" w:type="dxa"/>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2400</w:t>
            </w:r>
          </w:p>
        </w:tc>
        <w:tc>
          <w:tcPr>
            <w:tcW w:w="849"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0.00</w:t>
            </w:r>
            <w:r>
              <w:rPr>
                <w:rFonts w:hint="default" w:ascii="Times New Roman" w:hAnsi="Times New Roman" w:cs="Times New Roman" w:eastAsiaTheme="minorEastAsia"/>
                <w:szCs w:val="21"/>
                <w:lang w:val="en-US" w:eastAsia="zh-CN"/>
              </w:rPr>
              <w:t>02</w:t>
            </w:r>
          </w:p>
        </w:tc>
        <w:tc>
          <w:tcPr>
            <w:tcW w:w="854" w:type="dxa"/>
            <w:vAlign w:val="center"/>
          </w:tcPr>
          <w:p>
            <w:pPr>
              <w:jc w:val="center"/>
              <w:rPr>
                <w:rFonts w:hint="eastAsia" w:ascii="Times New Roman" w:hAnsi="Times New Roman" w:cs="Times New Roman" w:eastAsiaTheme="minorEastAsia"/>
                <w:szCs w:val="21"/>
                <w:lang w:val="en-US" w:eastAsia="zh-CN"/>
              </w:rPr>
            </w:pPr>
            <w:r>
              <w:rPr>
                <w:rFonts w:hint="eastAsia" w:cs="Times New Roman" w:eastAsiaTheme="minorEastAsia"/>
                <w:szCs w:val="21"/>
                <w:lang w:val="en-US" w:eastAsia="zh-CN"/>
              </w:rPr>
              <w:t>2.0</w:t>
            </w:r>
          </w:p>
        </w:tc>
        <w:tc>
          <w:tcPr>
            <w:tcW w:w="515" w:type="dxa"/>
            <w:textDirection w:val="lrTb"/>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350</w:t>
            </w:r>
          </w:p>
        </w:tc>
        <w:tc>
          <w:tcPr>
            <w:tcW w:w="685"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0.021</w:t>
            </w:r>
          </w:p>
        </w:tc>
        <w:tc>
          <w:tcPr>
            <w:tcW w:w="685"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1.85</w:t>
            </w:r>
          </w:p>
        </w:tc>
        <w:tc>
          <w:tcPr>
            <w:tcW w:w="686" w:type="dxa"/>
            <w:textDirection w:val="lrTb"/>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0.84</w:t>
            </w:r>
          </w:p>
        </w:tc>
        <w:tc>
          <w:tcPr>
            <w:tcW w:w="686" w:type="dxa"/>
            <w:vAlign w:val="center"/>
          </w:tcPr>
          <w:p>
            <w:pPr>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0.001</w:t>
            </w:r>
          </w:p>
        </w:tc>
        <w:tc>
          <w:tcPr>
            <w:tcW w:w="546" w:type="dxa"/>
            <w:vAlign w:val="center"/>
          </w:tcPr>
          <w:p>
            <w:pPr>
              <w:jc w:val="center"/>
              <w:rPr>
                <w:rFonts w:hint="eastAsia" w:ascii="Times New Roman" w:hAnsi="Times New Roman" w:cs="Times New Roman" w:eastAsiaTheme="minorEastAsia"/>
                <w:szCs w:val="21"/>
                <w:lang w:val="en-US" w:eastAsia="zh-CN"/>
              </w:rPr>
            </w:pPr>
            <w:r>
              <w:rPr>
                <w:rFonts w:hint="eastAsia" w:cs="Times New Roman" w:eastAsiaTheme="minorEastAsia"/>
                <w:szCs w:val="21"/>
                <w:lang w:val="en-US" w:eastAsia="zh-CN"/>
              </w:rPr>
              <w:t>50</w:t>
            </w:r>
          </w:p>
        </w:tc>
      </w:tr>
    </w:tbl>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根据以上计算结果，</w:t>
      </w:r>
      <w:r>
        <w:rPr>
          <w:rFonts w:hint="eastAsia" w:asciiTheme="minorEastAsia" w:hAnsiTheme="minorEastAsia" w:eastAsiaTheme="minorEastAsia" w:cstheme="minorEastAsia"/>
          <w:sz w:val="28"/>
          <w:szCs w:val="28"/>
        </w:rPr>
        <w:t>因此，本项目应从生产车间向外设置</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0米卫生防护距离。</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各类废气污染物达标排放对区域环境空气质量及人居生活环境无明显不利影响。</w:t>
      </w:r>
    </w:p>
    <w:p>
      <w:pPr>
        <w:pStyle w:val="2"/>
        <w:jc w:val="center"/>
        <w:rPr>
          <w:rFonts w:hint="eastAsia" w:asciiTheme="minorEastAsia" w:hAnsiTheme="minorEastAsia" w:eastAsiaTheme="minorEastAsia" w:cstheme="minorEastAsia"/>
          <w:b/>
          <w:bCs/>
          <w:kern w:val="44"/>
          <w:sz w:val="32"/>
          <w:szCs w:val="32"/>
        </w:rPr>
      </w:pPr>
      <w:r>
        <w:rPr>
          <w:rFonts w:hint="eastAsia" w:asciiTheme="minorEastAsia" w:hAnsiTheme="minorEastAsia" w:eastAsiaTheme="minorEastAsia" w:cstheme="minorEastAsia"/>
          <w:sz w:val="28"/>
          <w:szCs w:val="28"/>
        </w:rPr>
        <w:br w:type="page"/>
      </w:r>
      <w:bookmarkStart w:id="69" w:name="_Toc13543"/>
      <w:r>
        <w:rPr>
          <w:rFonts w:hint="eastAsia" w:asciiTheme="minorEastAsia" w:hAnsiTheme="minorEastAsia" w:eastAsiaTheme="minorEastAsia" w:cstheme="minorEastAsia"/>
          <w:b/>
          <w:bCs/>
          <w:kern w:val="44"/>
          <w:sz w:val="32"/>
          <w:szCs w:val="32"/>
        </w:rPr>
        <w:t>第5章 地表水环境影响</w:t>
      </w:r>
      <w:bookmarkEnd w:id="69"/>
    </w:p>
    <w:p>
      <w:pPr>
        <w:pStyle w:val="30"/>
        <w:spacing w:before="120" w:after="120"/>
        <w:rPr>
          <w:rFonts w:hint="eastAsia" w:asciiTheme="minorEastAsia" w:hAnsiTheme="minorEastAsia" w:eastAsiaTheme="minorEastAsia" w:cstheme="minorEastAsia"/>
        </w:rPr>
      </w:pPr>
      <w:bookmarkStart w:id="70" w:name="_Toc31217"/>
      <w:bookmarkStart w:id="71" w:name="_Toc466548251"/>
      <w:bookmarkStart w:id="72" w:name="_Toc457545434"/>
      <w:r>
        <w:rPr>
          <w:rFonts w:hint="eastAsia" w:asciiTheme="minorEastAsia" w:hAnsiTheme="minorEastAsia" w:eastAsiaTheme="minorEastAsia" w:cstheme="minorEastAsia"/>
        </w:rPr>
        <w:t>5.1地表水质量现状与评估</w:t>
      </w:r>
      <w:bookmarkEnd w:id="70"/>
      <w:bookmarkEnd w:id="71"/>
      <w:bookmarkEnd w:id="72"/>
    </w:p>
    <w:p>
      <w:pPr>
        <w:spacing w:line="360" w:lineRule="auto"/>
        <w:ind w:firstLine="560" w:firstLineChars="200"/>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根据丹阳市“十二五“环境质量报告书（水环境）统计，区域地表水（九曲河）可以达到《地表水环境质量标准》（GB3838-2002）Ⅲ类标准，评价区地表水水质总体能够满足规划功能要求，详见表5.1-1。</w:t>
      </w:r>
    </w:p>
    <w:p>
      <w:pPr>
        <w:wordWrap w:val="0"/>
        <w:adjustRightInd w:val="0"/>
        <w:snapToGrid w:val="0"/>
        <w:spacing w:line="360" w:lineRule="auto"/>
        <w:jc w:val="right"/>
        <w:rPr>
          <w:rFonts w:hint="default" w:ascii="Times New Roman" w:hAnsi="Times New Roman" w:cs="Times New Roman"/>
          <w:snapToGrid w:val="0"/>
          <w:kern w:val="18"/>
          <w:sz w:val="28"/>
          <w:szCs w:val="28"/>
        </w:rPr>
      </w:pPr>
      <w:r>
        <w:rPr>
          <w:rFonts w:hint="default" w:ascii="Times New Roman" w:hAnsi="Times New Roman" w:cs="Times New Roman"/>
          <w:b/>
          <w:bCs/>
          <w:snapToGrid w:val="0"/>
          <w:kern w:val="18"/>
          <w:sz w:val="28"/>
          <w:szCs w:val="28"/>
        </w:rPr>
        <w:t>表5.1-1  地表水环境质量现状监测统计结果</w:t>
      </w:r>
      <w:r>
        <w:rPr>
          <w:rFonts w:hint="default" w:ascii="Times New Roman" w:hAnsi="Times New Roman" w:cs="Times New Roman"/>
          <w:snapToGrid w:val="0"/>
          <w:kern w:val="18"/>
          <w:sz w:val="28"/>
          <w:szCs w:val="28"/>
        </w:rPr>
        <w:t xml:space="preserve"> </w:t>
      </w:r>
      <w:r>
        <w:rPr>
          <w:rFonts w:hint="default" w:ascii="Times New Roman" w:hAnsi="Times New Roman" w:cs="Times New Roman"/>
          <w:snapToGrid w:val="0"/>
          <w:kern w:val="18"/>
          <w:sz w:val="24"/>
        </w:rPr>
        <w:t>单位：mg/L，pH无量纲</w:t>
      </w:r>
    </w:p>
    <w:tbl>
      <w:tblPr>
        <w:tblStyle w:val="20"/>
        <w:tblW w:w="93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1352"/>
        <w:gridCol w:w="818"/>
        <w:gridCol w:w="818"/>
        <w:gridCol w:w="876"/>
        <w:gridCol w:w="826"/>
        <w:gridCol w:w="107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3261" w:type="dxa"/>
            <w:gridSpan w:val="2"/>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污染物</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pH</w:t>
            </w:r>
          </w:p>
        </w:tc>
        <w:tc>
          <w:tcPr>
            <w:tcW w:w="818" w:type="dxa"/>
            <w:vAlign w:val="center"/>
          </w:tcPr>
          <w:p>
            <w:pPr>
              <w:spacing w:line="0" w:lineRule="atLeast"/>
              <w:jc w:val="center"/>
              <w:rPr>
                <w:rFonts w:hint="default" w:ascii="Times New Roman" w:hAnsi="Times New Roman" w:cs="Times New Roman"/>
                <w:sz w:val="24"/>
                <w:vertAlign w:val="subscript"/>
              </w:rPr>
            </w:pPr>
            <w:r>
              <w:rPr>
                <w:rFonts w:hint="default" w:ascii="Times New Roman" w:hAnsi="Times New Roman" w:cs="Times New Roman"/>
                <w:sz w:val="24"/>
              </w:rPr>
              <w:t>BOD</w:t>
            </w:r>
            <w:r>
              <w:rPr>
                <w:rFonts w:hint="default" w:ascii="Times New Roman" w:hAnsi="Times New Roman" w:cs="Times New Roman"/>
                <w:sz w:val="24"/>
                <w:vertAlign w:val="subscript"/>
              </w:rPr>
              <w:t>5</w:t>
            </w:r>
          </w:p>
        </w:tc>
        <w:tc>
          <w:tcPr>
            <w:tcW w:w="87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氨氮</w:t>
            </w:r>
          </w:p>
        </w:tc>
        <w:tc>
          <w:tcPr>
            <w:tcW w:w="82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总磷</w:t>
            </w:r>
          </w:p>
        </w:tc>
        <w:tc>
          <w:tcPr>
            <w:tcW w:w="107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石油类</w:t>
            </w:r>
          </w:p>
        </w:tc>
        <w:tc>
          <w:tcPr>
            <w:tcW w:w="166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9" w:type="dxa"/>
            <w:vAlign w:val="center"/>
          </w:tcPr>
          <w:p>
            <w:pPr>
              <w:snapToGrid w:val="0"/>
              <w:spacing w:line="0" w:lineRule="atLeast"/>
              <w:jc w:val="center"/>
              <w:rPr>
                <w:rFonts w:hint="default" w:ascii="Times New Roman" w:hAnsi="Times New Roman" w:cs="Times New Roman"/>
                <w:sz w:val="24"/>
              </w:rPr>
            </w:pPr>
            <w:r>
              <w:rPr>
                <w:rFonts w:hint="default" w:ascii="Times New Roman" w:hAnsi="Times New Roman" w:cs="Times New Roman"/>
                <w:sz w:val="24"/>
              </w:rPr>
              <w:t>林家闸断面</w:t>
            </w:r>
          </w:p>
        </w:tc>
        <w:tc>
          <w:tcPr>
            <w:tcW w:w="1352"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年平均</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7.46</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1.9</w:t>
            </w:r>
          </w:p>
        </w:tc>
        <w:tc>
          <w:tcPr>
            <w:tcW w:w="87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0.64</w:t>
            </w:r>
          </w:p>
        </w:tc>
        <w:tc>
          <w:tcPr>
            <w:tcW w:w="82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0.14</w:t>
            </w:r>
          </w:p>
        </w:tc>
        <w:tc>
          <w:tcPr>
            <w:tcW w:w="107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0.03</w:t>
            </w:r>
          </w:p>
        </w:tc>
        <w:tc>
          <w:tcPr>
            <w:tcW w:w="166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9"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翻水站断面</w:t>
            </w:r>
          </w:p>
        </w:tc>
        <w:tc>
          <w:tcPr>
            <w:tcW w:w="1352"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年平均</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7.3</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2.3</w:t>
            </w:r>
          </w:p>
        </w:tc>
        <w:tc>
          <w:tcPr>
            <w:tcW w:w="87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0.99</w:t>
            </w:r>
          </w:p>
        </w:tc>
        <w:tc>
          <w:tcPr>
            <w:tcW w:w="82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0.14</w:t>
            </w:r>
          </w:p>
        </w:tc>
        <w:tc>
          <w:tcPr>
            <w:tcW w:w="107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0.04</w:t>
            </w:r>
          </w:p>
        </w:tc>
        <w:tc>
          <w:tcPr>
            <w:tcW w:w="166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1" w:type="dxa"/>
            <w:gridSpan w:val="2"/>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Ⅲ类水质标准</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6-9</w:t>
            </w:r>
          </w:p>
        </w:tc>
        <w:tc>
          <w:tcPr>
            <w:tcW w:w="818"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4</w:t>
            </w:r>
          </w:p>
        </w:tc>
        <w:tc>
          <w:tcPr>
            <w:tcW w:w="87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1.0</w:t>
            </w:r>
          </w:p>
        </w:tc>
        <w:tc>
          <w:tcPr>
            <w:tcW w:w="826"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0.2</w:t>
            </w:r>
          </w:p>
        </w:tc>
        <w:tc>
          <w:tcPr>
            <w:tcW w:w="107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0.05</w:t>
            </w:r>
          </w:p>
        </w:tc>
        <w:tc>
          <w:tcPr>
            <w:tcW w:w="1661" w:type="dxa"/>
            <w:vAlign w:val="center"/>
          </w:tcPr>
          <w:p>
            <w:pPr>
              <w:spacing w:line="0" w:lineRule="atLeast"/>
              <w:jc w:val="center"/>
              <w:rPr>
                <w:rFonts w:hint="default" w:ascii="Times New Roman" w:hAnsi="Times New Roman" w:cs="Times New Roman"/>
                <w:sz w:val="24"/>
              </w:rPr>
            </w:pPr>
            <w:r>
              <w:rPr>
                <w:rFonts w:hint="default" w:ascii="Times New Roman" w:hAnsi="Times New Roman" w:cs="Times New Roman"/>
                <w:sz w:val="24"/>
              </w:rPr>
              <w:t>6</w:t>
            </w:r>
          </w:p>
        </w:tc>
      </w:tr>
    </w:tbl>
    <w:p>
      <w:pPr>
        <w:pStyle w:val="30"/>
        <w:spacing w:before="120" w:after="120"/>
        <w:rPr>
          <w:rFonts w:hint="eastAsia" w:asciiTheme="minorEastAsia" w:hAnsiTheme="minorEastAsia" w:eastAsiaTheme="minorEastAsia" w:cstheme="minorEastAsia"/>
        </w:rPr>
      </w:pPr>
      <w:bookmarkStart w:id="73" w:name="_Toc21791"/>
      <w:r>
        <w:rPr>
          <w:rFonts w:hint="eastAsia" w:asciiTheme="minorEastAsia" w:hAnsiTheme="minorEastAsia" w:eastAsiaTheme="minorEastAsia" w:cstheme="minorEastAsia"/>
        </w:rPr>
        <w:t>5.2 地表水环境影响</w:t>
      </w:r>
      <w:bookmarkEnd w:id="73"/>
    </w:p>
    <w:p>
      <w:pPr>
        <w:spacing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本公司生活污水产生量</w:t>
      </w:r>
      <w:r>
        <w:rPr>
          <w:rFonts w:hint="eastAsia" w:ascii="Times New Roman" w:hAnsi="Times New Roman" w:cs="Times New Roman" w:eastAsiaTheme="minorEastAsia"/>
          <w:sz w:val="28"/>
          <w:szCs w:val="28"/>
          <w:lang w:val="en-US" w:eastAsia="zh-CN"/>
        </w:rPr>
        <w:t>2592</w:t>
      </w:r>
      <w:r>
        <w:rPr>
          <w:rFonts w:hint="default" w:ascii="Times New Roman" w:hAnsi="Times New Roman" w:cs="Times New Roman" w:eastAsiaTheme="minorEastAsia"/>
          <w:sz w:val="28"/>
          <w:szCs w:val="28"/>
        </w:rPr>
        <w:t>t/a，</w:t>
      </w:r>
      <w:r>
        <w:rPr>
          <w:rFonts w:hint="default" w:ascii="Times New Roman" w:hAnsi="Times New Roman" w:cs="Times New Roman" w:eastAsiaTheme="minorEastAsia"/>
          <w:sz w:val="28"/>
          <w:szCs w:val="28"/>
          <w:lang w:val="en-US" w:eastAsia="zh-CN"/>
        </w:rPr>
        <w:t>工业污水产生量为1</w:t>
      </w:r>
      <w:r>
        <w:rPr>
          <w:rFonts w:hint="eastAsia" w:ascii="Times New Roman" w:hAnsi="Times New Roman" w:cs="Times New Roman" w:eastAsiaTheme="minorEastAsia"/>
          <w:sz w:val="28"/>
          <w:szCs w:val="28"/>
          <w:lang w:val="en-US" w:eastAsia="zh-CN"/>
        </w:rPr>
        <w:t>283</w:t>
      </w:r>
      <w:r>
        <w:rPr>
          <w:rFonts w:hint="default" w:ascii="Times New Roman" w:hAnsi="Times New Roman" w:cs="Times New Roman" w:eastAsiaTheme="minorEastAsia"/>
          <w:sz w:val="28"/>
          <w:szCs w:val="28"/>
        </w:rPr>
        <w:t>t/a</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rPr>
        <w:t>水污染物主要为COD、SS、TP、氨氮、总氮。生活污水通过化粪池预处理</w:t>
      </w:r>
      <w:r>
        <w:rPr>
          <w:rFonts w:hint="default" w:ascii="Times New Roman" w:hAnsi="Times New Roman" w:cs="Times New Roman" w:eastAsiaTheme="minorEastAsia"/>
          <w:sz w:val="28"/>
          <w:szCs w:val="28"/>
          <w:lang w:val="en-US" w:eastAsia="zh-CN"/>
        </w:rPr>
        <w:t>后及工业污水经过厂区污水处理站处理后</w:t>
      </w:r>
      <w:r>
        <w:rPr>
          <w:rFonts w:hint="default" w:ascii="Times New Roman" w:hAnsi="Times New Roman" w:cs="Times New Roman" w:eastAsiaTheme="minorEastAsia"/>
          <w:sz w:val="28"/>
          <w:szCs w:val="28"/>
        </w:rPr>
        <w:t>，接管丹阳市沃特污水处理厂集中处理，尾水最终排入京杭运河。京杭运河水质能满足水功能区划要求，项目的建设运行对纳污河流京杭运河的影响较小。</w:t>
      </w: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pStyle w:val="2"/>
        <w:jc w:val="center"/>
        <w:rPr>
          <w:rFonts w:hint="eastAsia"/>
        </w:rPr>
      </w:pPr>
      <w:bookmarkStart w:id="74" w:name="_Toc30560"/>
      <w:bookmarkStart w:id="75" w:name="_Toc466548253"/>
      <w:bookmarkStart w:id="76" w:name="_Toc457545437"/>
      <w:r>
        <w:rPr>
          <w:rFonts w:hint="eastAsia"/>
          <w:lang w:val="en-US" w:eastAsia="zh-CN"/>
        </w:rPr>
        <w:t>第6章   地下水环境影响</w:t>
      </w:r>
      <w:bookmarkEnd w:id="74"/>
      <w:bookmarkEnd w:id="75"/>
      <w:bookmarkEnd w:id="76"/>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该项目正常工况下，对地下水和土壤可能造成影响的主要为危险固废。该项目车间地面、固废堆场等均做了水泥混凝土防渗、防腐处理。由污染途径及对应措施分析可知，对可能产生地下水影响的各项途径均进行有效预防，在确保各项防渗措施得以落实，并加强维护和管理的前提下，可有效控制废水、废液污染物下渗现象，避免污染地下水。本项目的生产运营对区域地下水环境质量无影响。</w:t>
      </w:r>
    </w:p>
    <w:p>
      <w:pPr>
        <w:pStyle w:val="2"/>
        <w:jc w:val="center"/>
        <w:rPr>
          <w:rFonts w:hint="eastAsia"/>
        </w:rPr>
      </w:pPr>
      <w:bookmarkStart w:id="77" w:name="_Toc466548254"/>
      <w:bookmarkStart w:id="78" w:name="_Toc7474"/>
      <w:bookmarkStart w:id="79" w:name="_Toc457545438"/>
      <w:r>
        <w:rPr>
          <w:rFonts w:hint="eastAsia"/>
        </w:rPr>
        <w:t>第7章   声环境影响</w:t>
      </w:r>
      <w:bookmarkEnd w:id="77"/>
      <w:bookmarkEnd w:id="78"/>
      <w:bookmarkEnd w:id="79"/>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根据无锡市中证检测技术有限公司于</w:t>
      </w:r>
      <w:r>
        <w:rPr>
          <w:rFonts w:hint="eastAsia" w:asciiTheme="minorEastAsia" w:hAnsiTheme="minorEastAsia" w:eastAsiaTheme="minorEastAsia" w:cstheme="minorEastAsia"/>
          <w:sz w:val="28"/>
          <w:szCs w:val="28"/>
          <w:highlight w:val="none"/>
          <w:lang w:val="en-US" w:eastAsia="zh-CN"/>
        </w:rPr>
        <w:t>2016年12月9日对公</w:t>
      </w:r>
      <w:r>
        <w:rPr>
          <w:rFonts w:hint="eastAsia" w:asciiTheme="minorEastAsia" w:hAnsiTheme="minorEastAsia" w:eastAsiaTheme="minorEastAsia" w:cstheme="minorEastAsia"/>
          <w:sz w:val="28"/>
          <w:szCs w:val="28"/>
          <w:lang w:val="en-US" w:eastAsia="zh-CN"/>
        </w:rPr>
        <w:t>司各厂界噪声进行的监测结果，该公司正常工况下，各厂界噪声可达到《工业企业厂界环境噪声排放标准》（GB12348-2008）3类标准要求。同时，区域声环境质量可达到《声环境质量标准》（GB3096-2008）的3类功能区标准要求。因此，该项目正常营运对周围声环境影响较小。</w:t>
      </w:r>
    </w:p>
    <w:p>
      <w:pPr>
        <w:pStyle w:val="2"/>
        <w:jc w:val="center"/>
        <w:rPr>
          <w:rFonts w:hint="eastAsia"/>
        </w:rPr>
      </w:pPr>
      <w:bookmarkStart w:id="80" w:name="_Toc466548255"/>
      <w:bookmarkStart w:id="81" w:name="_Toc457545439"/>
      <w:r>
        <w:rPr>
          <w:rFonts w:hint="eastAsia"/>
        </w:rPr>
        <w:br w:type="page"/>
      </w:r>
      <w:bookmarkStart w:id="82" w:name="_Toc20014"/>
      <w:r>
        <w:rPr>
          <w:rFonts w:hint="eastAsia"/>
        </w:rPr>
        <w:t>第8章   固体废物环境影响分析</w:t>
      </w:r>
      <w:bookmarkEnd w:id="80"/>
      <w:bookmarkEnd w:id="81"/>
      <w:bookmarkEnd w:id="82"/>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该项目正常工况下，产生的固废主要有：</w:t>
      </w:r>
      <w:r>
        <w:rPr>
          <w:rFonts w:hint="eastAsia" w:asciiTheme="minorEastAsia" w:hAnsiTheme="minorEastAsia" w:eastAsiaTheme="minorEastAsia" w:cstheme="minorEastAsia"/>
          <w:sz w:val="28"/>
          <w:szCs w:val="28"/>
        </w:rPr>
        <w:t>废弃木材（残次品边角料），粉尘木屑，木炭灰渣，废胶水桶，废液压油，废活性炭，废油漆桶，生物污泥，生活垃圾等。</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各类固体废物的种类、数量及处置方式详见表2.2.2-6。</w:t>
      </w:r>
    </w:p>
    <w:p>
      <w:pPr>
        <w:spacing w:line="360" w:lineRule="auto"/>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lang w:val="en-US" w:eastAsia="zh-CN"/>
        </w:rPr>
        <w:t>公司正常生产期间，各类固废均得到了安全无害化处理，可实现区域零排放，不会对周边环境造成影响。</w:t>
      </w:r>
    </w:p>
    <w:p>
      <w:pPr>
        <w:pStyle w:val="2"/>
        <w:jc w:val="center"/>
        <w:rPr>
          <w:rFonts w:hint="eastAsia"/>
        </w:rPr>
      </w:pPr>
      <w:bookmarkStart w:id="83" w:name="_Toc15185"/>
      <w:r>
        <w:rPr>
          <w:rFonts w:hint="eastAsia"/>
        </w:rPr>
        <w:t>第9章 厂区绿化工程建设</w:t>
      </w:r>
      <w:bookmarkEnd w:id="83"/>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auto"/>
          <w:sz w:val="28"/>
          <w:szCs w:val="28"/>
        </w:rPr>
        <w:t>本项目厂区</w:t>
      </w:r>
      <w:r>
        <w:rPr>
          <w:rFonts w:hint="eastAsia" w:asciiTheme="minorEastAsia" w:hAnsiTheme="minorEastAsia" w:eastAsiaTheme="minorEastAsia" w:cstheme="minorEastAsia"/>
          <w:color w:val="auto"/>
          <w:sz w:val="28"/>
          <w:szCs w:val="28"/>
          <w:highlight w:val="none"/>
        </w:rPr>
        <w:t xml:space="preserve">绿化面积约 </w:t>
      </w:r>
      <w:r>
        <w:rPr>
          <w:rFonts w:hint="eastAsia" w:asciiTheme="minorEastAsia" w:hAnsiTheme="minorEastAsia" w:eastAsiaTheme="minorEastAsia" w:cstheme="minorEastAsia"/>
          <w:color w:val="auto"/>
          <w:sz w:val="28"/>
          <w:szCs w:val="28"/>
          <w:highlight w:val="none"/>
          <w:lang w:val="en-US" w:eastAsia="zh-CN"/>
        </w:rPr>
        <w:t>16000</w:t>
      </w:r>
      <w:r>
        <w:rPr>
          <w:rFonts w:hint="eastAsia" w:asciiTheme="minorEastAsia" w:hAnsiTheme="minorEastAsia" w:eastAsiaTheme="minorEastAsia" w:cstheme="minorEastAsia"/>
          <w:color w:val="auto"/>
          <w:sz w:val="28"/>
          <w:szCs w:val="28"/>
          <w:highlight w:val="none"/>
        </w:rPr>
        <w:t>m</w:t>
      </w:r>
      <w:r>
        <w:rPr>
          <w:rFonts w:hint="eastAsia" w:asciiTheme="minorEastAsia" w:hAnsiTheme="minorEastAsia" w:eastAsiaTheme="minorEastAsia" w:cstheme="minorEastAsia"/>
          <w:color w:val="auto"/>
          <w:sz w:val="28"/>
          <w:szCs w:val="28"/>
          <w:highlight w:val="none"/>
          <w:vertAlign w:val="superscript"/>
        </w:rPr>
        <w:t>2</w:t>
      </w:r>
      <w:r>
        <w:rPr>
          <w:rFonts w:hint="eastAsia" w:asciiTheme="minorEastAsia" w:hAnsiTheme="minorEastAsia" w:eastAsiaTheme="minorEastAsia" w:cstheme="minorEastAsia"/>
          <w:color w:val="auto"/>
          <w:sz w:val="28"/>
          <w:szCs w:val="28"/>
        </w:rPr>
        <w:t>，绿化布置采用点、线、面结合方式。</w:t>
      </w:r>
      <w:r>
        <w:rPr>
          <w:rFonts w:hint="eastAsia" w:asciiTheme="minorEastAsia" w:hAnsiTheme="minorEastAsia" w:eastAsiaTheme="minorEastAsia" w:cstheme="minorEastAsia"/>
          <w:sz w:val="28"/>
          <w:szCs w:val="28"/>
        </w:rPr>
        <w:t>根据现场勘察，该公司厂区绿化</w:t>
      </w:r>
      <w:r>
        <w:rPr>
          <w:rFonts w:hint="eastAsia" w:asciiTheme="minorEastAsia" w:hAnsiTheme="minorEastAsia" w:eastAsiaTheme="minorEastAsia" w:cstheme="minorEastAsia"/>
          <w:sz w:val="28"/>
          <w:szCs w:val="28"/>
          <w:lang w:val="en-US" w:eastAsia="zh-CN"/>
        </w:rPr>
        <w:t>丰富</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在</w:t>
      </w:r>
      <w:r>
        <w:rPr>
          <w:rFonts w:hint="eastAsia" w:asciiTheme="minorEastAsia" w:hAnsiTheme="minorEastAsia" w:eastAsiaTheme="minorEastAsia" w:cstheme="minorEastAsia"/>
          <w:sz w:val="28"/>
          <w:szCs w:val="28"/>
        </w:rPr>
        <w:t>总平面布置中充分考虑</w:t>
      </w:r>
      <w:r>
        <w:rPr>
          <w:rFonts w:hint="eastAsia" w:asciiTheme="minorEastAsia" w:hAnsiTheme="minorEastAsia" w:eastAsiaTheme="minorEastAsia" w:cstheme="minorEastAsia"/>
          <w:sz w:val="28"/>
          <w:szCs w:val="28"/>
          <w:lang w:val="en-US" w:eastAsia="zh-CN"/>
        </w:rPr>
        <w:t>了</w:t>
      </w:r>
      <w:r>
        <w:rPr>
          <w:rFonts w:hint="eastAsia" w:asciiTheme="minorEastAsia" w:hAnsiTheme="minorEastAsia" w:eastAsiaTheme="minorEastAsia" w:cstheme="minorEastAsia"/>
          <w:sz w:val="28"/>
          <w:szCs w:val="28"/>
        </w:rPr>
        <w:t>绿化布局，尽量加大绿化面积，</w:t>
      </w:r>
      <w:r>
        <w:rPr>
          <w:rFonts w:hint="eastAsia" w:asciiTheme="minorEastAsia" w:hAnsiTheme="minorEastAsia" w:eastAsiaTheme="minorEastAsia" w:cstheme="minorEastAsia"/>
          <w:sz w:val="28"/>
          <w:szCs w:val="28"/>
          <w:lang w:val="en-US" w:eastAsia="zh-CN"/>
        </w:rPr>
        <w:t>既</w:t>
      </w:r>
      <w:r>
        <w:rPr>
          <w:rFonts w:hint="eastAsia" w:asciiTheme="minorEastAsia" w:hAnsiTheme="minorEastAsia" w:eastAsiaTheme="minorEastAsia" w:cstheme="minorEastAsia"/>
          <w:sz w:val="28"/>
          <w:szCs w:val="28"/>
        </w:rPr>
        <w:t>美化厂区环境</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同时也进一步</w:t>
      </w:r>
      <w:r>
        <w:rPr>
          <w:rFonts w:hint="eastAsia" w:asciiTheme="minorEastAsia" w:hAnsiTheme="minorEastAsia" w:eastAsiaTheme="minorEastAsia" w:cstheme="minorEastAsia"/>
          <w:sz w:val="28"/>
          <w:szCs w:val="28"/>
          <w:lang w:val="en-US" w:eastAsia="zh-CN"/>
        </w:rPr>
        <w:t>减</w:t>
      </w:r>
      <w:r>
        <w:rPr>
          <w:rFonts w:hint="eastAsia" w:asciiTheme="minorEastAsia" w:hAnsiTheme="minorEastAsia" w:eastAsiaTheme="minorEastAsia" w:cstheme="minorEastAsia"/>
          <w:sz w:val="28"/>
          <w:szCs w:val="28"/>
        </w:rPr>
        <w:t>少废气、噪声对外环境的影响。</w:t>
      </w: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pStyle w:val="29"/>
        <w:spacing w:before="120" w:after="120"/>
        <w:jc w:val="center"/>
        <w:rPr>
          <w:rFonts w:hint="eastAsia" w:asciiTheme="minorEastAsia" w:hAnsiTheme="minorEastAsia" w:eastAsiaTheme="minorEastAsia" w:cstheme="minorEastAsia"/>
        </w:rPr>
      </w:pPr>
      <w:bookmarkStart w:id="84" w:name="_Toc32084"/>
      <w:r>
        <w:rPr>
          <w:rFonts w:hint="eastAsia" w:asciiTheme="minorEastAsia" w:hAnsiTheme="minorEastAsia" w:eastAsiaTheme="minorEastAsia" w:cstheme="minorEastAsia"/>
        </w:rPr>
        <w:t>第10章 环境风险评估</w:t>
      </w:r>
      <w:bookmarkEnd w:id="84"/>
    </w:p>
    <w:p>
      <w:pPr>
        <w:pStyle w:val="30"/>
        <w:spacing w:before="120" w:after="120"/>
        <w:rPr>
          <w:rFonts w:hint="eastAsia" w:asciiTheme="minorEastAsia" w:hAnsiTheme="minorEastAsia" w:eastAsiaTheme="minorEastAsia" w:cstheme="minorEastAsia"/>
        </w:rPr>
      </w:pPr>
      <w:bookmarkStart w:id="85" w:name="_Toc335866646"/>
      <w:bookmarkStart w:id="86" w:name="_Toc15864"/>
      <w:r>
        <w:rPr>
          <w:rFonts w:hint="eastAsia" w:asciiTheme="minorEastAsia" w:hAnsiTheme="minorEastAsia" w:eastAsiaTheme="minorEastAsia" w:cstheme="minorEastAsia"/>
        </w:rPr>
        <w:t>10.1</w:t>
      </w:r>
      <w:bookmarkEnd w:id="85"/>
      <w:r>
        <w:rPr>
          <w:rFonts w:hint="eastAsia" w:asciiTheme="minorEastAsia" w:hAnsiTheme="minorEastAsia" w:eastAsiaTheme="minorEastAsia" w:cstheme="minorEastAsia"/>
        </w:rPr>
        <w:t>概述</w:t>
      </w:r>
      <w:bookmarkEnd w:id="86"/>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环境风险评价是针对建设项目在建设和运行期间发生的可预测突发性事件或事故（一般不包括人为破坏及自然灾害），引起有毒有害、易燃易爆等物质泄漏，或突发事件产生的新的有毒有害物质，所造成的对人身安全与环境的影响和损害，进行评估，提出合理可行的防范、应急与减缓措施，以使建设项目事故率、损失和环境影响达到可接受水平。</w:t>
      </w:r>
    </w:p>
    <w:p>
      <w:pPr>
        <w:spacing w:line="360" w:lineRule="auto"/>
        <w:ind w:firstLine="560" w:firstLineChars="200"/>
        <w:rPr>
          <w:rFonts w:hint="eastAsia" w:asciiTheme="minorEastAsia" w:hAnsiTheme="minorEastAsia" w:eastAsiaTheme="minorEastAsia" w:cstheme="minorEastAsia"/>
          <w:sz w:val="28"/>
          <w:szCs w:val="28"/>
        </w:rPr>
      </w:pPr>
      <w:bookmarkStart w:id="87" w:name="_Toc142822524"/>
      <w:bookmarkStart w:id="88" w:name="_Toc224440980"/>
      <w:bookmarkStart w:id="89" w:name="_Toc335866647"/>
      <w:r>
        <w:rPr>
          <w:rFonts w:hint="eastAsia" w:asciiTheme="minorEastAsia" w:hAnsiTheme="minorEastAsia" w:eastAsiaTheme="minorEastAsia" w:cstheme="minorEastAsia"/>
          <w:sz w:val="28"/>
          <w:szCs w:val="28"/>
        </w:rPr>
        <w:t>本项目在生产过程中，所用的原辅材料部分为具有一定毒性的物料，具有一定的潜在危险性。在突发性的事故状态下，如果不采取有效措施，一旦释放出来，将会对环境造成不利影响。因此需要进行必要的环境事故风险分析，提出进一步降低事故风险措施，使得企业在生产正常运转的基础上，确保厂界外的环境质量，确保职工及周边影响区内人群生物的健康和生命安全。</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环境风险评价将把事故引起厂界外人群的伤害、环境质量的恶化及对生态系统影响的预测和防护作为评价工作重点。拟通过分析本工程项目中主要物料的危险性和毒性，识别其潜在危险源并提出防治措施，达到降低风险性、降低危害程度，保护环境之目的。</w:t>
      </w:r>
    </w:p>
    <w:p>
      <w:pPr>
        <w:pStyle w:val="30"/>
        <w:spacing w:before="120" w:after="120"/>
        <w:rPr>
          <w:rFonts w:hint="eastAsia" w:asciiTheme="minorEastAsia" w:hAnsiTheme="minorEastAsia" w:eastAsiaTheme="minorEastAsia" w:cstheme="minorEastAsia"/>
        </w:rPr>
      </w:pPr>
      <w:bookmarkStart w:id="90" w:name="_Toc16184"/>
      <w:r>
        <w:rPr>
          <w:rFonts w:hint="eastAsia" w:asciiTheme="minorEastAsia" w:hAnsiTheme="minorEastAsia" w:eastAsiaTheme="minorEastAsia" w:cstheme="minorEastAsia"/>
        </w:rPr>
        <w:t>10.</w:t>
      </w:r>
      <w:bookmarkEnd w:id="87"/>
      <w:bookmarkEnd w:id="88"/>
      <w:r>
        <w:rPr>
          <w:rFonts w:hint="eastAsia" w:asciiTheme="minorEastAsia" w:hAnsiTheme="minorEastAsia" w:eastAsiaTheme="minorEastAsia" w:cstheme="minorEastAsia"/>
        </w:rPr>
        <w:t>2风险识别</w:t>
      </w:r>
      <w:bookmarkEnd w:id="89"/>
      <w:bookmarkEnd w:id="9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物质危险性识别依据《建设项目环境风险评价技术导则》附录A.1“物质危险性标准”，见下表</w:t>
      </w:r>
    </w:p>
    <w:p>
      <w:pPr>
        <w:pStyle w:val="5"/>
        <w:spacing w:after="120" w:afterLines="50"/>
        <w:ind w:firstLine="2797" w:firstLineChars="995"/>
        <w:rPr>
          <w:rFonts w:hint="eastAsia" w:asciiTheme="minorEastAsia" w:hAnsiTheme="minorEastAsia" w:eastAsiaTheme="minorEastAsia" w:cstheme="minorEastAsia"/>
          <w:b/>
          <w:bCs/>
          <w:snapToGrid w:val="0"/>
          <w:sz w:val="28"/>
          <w:szCs w:val="28"/>
        </w:rPr>
      </w:pPr>
    </w:p>
    <w:p>
      <w:pPr>
        <w:pStyle w:val="5"/>
        <w:spacing w:after="120" w:afterLines="50"/>
        <w:ind w:firstLine="2797" w:firstLineChars="995"/>
        <w:rPr>
          <w:rFonts w:hint="eastAsia" w:asciiTheme="minorEastAsia" w:hAnsiTheme="minorEastAsia" w:eastAsiaTheme="minorEastAsia" w:cstheme="minorEastAsia"/>
          <w:b/>
          <w:bCs/>
          <w:snapToGrid w:val="0"/>
          <w:sz w:val="28"/>
          <w:szCs w:val="28"/>
        </w:rPr>
      </w:pP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表10.2-1  物质危险性标准</w:t>
      </w:r>
    </w:p>
    <w:tbl>
      <w:tblPr>
        <w:tblStyle w:val="20"/>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864"/>
        <w:gridCol w:w="2325"/>
        <w:gridCol w:w="2398"/>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物质</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类别</w:t>
            </w: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等级</w:t>
            </w:r>
          </w:p>
        </w:tc>
        <w:tc>
          <w:tcPr>
            <w:tcW w:w="2325"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LD</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 xml:space="preserve"> (大鼠经口)</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（mg/kg）</w:t>
            </w:r>
          </w:p>
        </w:tc>
        <w:tc>
          <w:tcPr>
            <w:tcW w:w="23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LD</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 xml:space="preserve"> (大鼠经皮)</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（mg/kg）</w:t>
            </w:r>
          </w:p>
        </w:tc>
        <w:tc>
          <w:tcPr>
            <w:tcW w:w="265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LC</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（小鼠吸入，4小时）（mg/L）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有毒</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物质</w:t>
            </w: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2325"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&lt;5</w:t>
            </w:r>
          </w:p>
        </w:tc>
        <w:tc>
          <w:tcPr>
            <w:tcW w:w="23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&lt;1</w:t>
            </w:r>
          </w:p>
        </w:tc>
        <w:tc>
          <w:tcPr>
            <w:tcW w:w="265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Merge w:val="continue"/>
            <w:vAlign w:val="center"/>
          </w:tcPr>
          <w:p>
            <w:pPr>
              <w:jc w:val="center"/>
              <w:rPr>
                <w:rFonts w:hint="eastAsia" w:asciiTheme="minorEastAsia" w:hAnsiTheme="minorEastAsia" w:eastAsiaTheme="minorEastAsia" w:cstheme="minorEastAsia"/>
                <w:sz w:val="24"/>
              </w:rPr>
            </w:pP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2325"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5&lt;LD</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&lt;25</w:t>
            </w:r>
          </w:p>
        </w:tc>
        <w:tc>
          <w:tcPr>
            <w:tcW w:w="23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10&lt;LD</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&lt;50</w:t>
            </w:r>
          </w:p>
        </w:tc>
        <w:tc>
          <w:tcPr>
            <w:tcW w:w="265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0.1&lt;LC</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Merge w:val="continue"/>
            <w:vAlign w:val="center"/>
          </w:tcPr>
          <w:p>
            <w:pPr>
              <w:jc w:val="center"/>
              <w:rPr>
                <w:rFonts w:hint="eastAsia" w:asciiTheme="minorEastAsia" w:hAnsiTheme="minorEastAsia" w:eastAsiaTheme="minorEastAsia" w:cstheme="minorEastAsia"/>
                <w:sz w:val="24"/>
              </w:rPr>
            </w:pP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2325"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25&lt;LD</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&lt;200</w:t>
            </w:r>
          </w:p>
        </w:tc>
        <w:tc>
          <w:tcPr>
            <w:tcW w:w="2398"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50&lt;LD</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&lt;400</w:t>
            </w:r>
          </w:p>
        </w:tc>
        <w:tc>
          <w:tcPr>
            <w:tcW w:w="2656"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0.5&lt;LC</w:t>
            </w:r>
            <w:r>
              <w:rPr>
                <w:rFonts w:hint="eastAsia" w:asciiTheme="minorEastAsia" w:hAnsiTheme="minorEastAsia" w:eastAsiaTheme="minorEastAsia" w:cstheme="minorEastAsia"/>
                <w:sz w:val="24"/>
                <w:vertAlign w:val="subscript"/>
              </w:rPr>
              <w:t>50</w:t>
            </w:r>
            <w:r>
              <w:rPr>
                <w:rFonts w:hint="eastAsia" w:asciiTheme="minorEastAsia" w:hAnsiTheme="minorEastAsia" w:eastAsiaTheme="minorEastAsia" w:cstheme="minorEastAsia"/>
                <w:sz w:val="24"/>
              </w:rPr>
              <w:t>&lt;2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Merge w:val="restart"/>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易燃</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物质</w:t>
            </w: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7379"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可燃气体－在常压下以气态存在并与空气混合形成可燃混合物；其沸点（常压下）是20℃或20℃以下的物质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Merge w:val="continue"/>
            <w:vAlign w:val="center"/>
          </w:tcPr>
          <w:p>
            <w:pPr>
              <w:jc w:val="center"/>
              <w:rPr>
                <w:rFonts w:hint="eastAsia" w:asciiTheme="minorEastAsia" w:hAnsiTheme="minorEastAsia" w:eastAsiaTheme="minorEastAsia" w:cstheme="minorEastAsia"/>
                <w:sz w:val="24"/>
              </w:rPr>
            </w:pP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7379"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易燃液体－闪点低于21℃，沸点高于20℃的物质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4" w:type="dxa"/>
            <w:vMerge w:val="continue"/>
            <w:vAlign w:val="center"/>
          </w:tcPr>
          <w:p>
            <w:pPr>
              <w:jc w:val="center"/>
              <w:rPr>
                <w:rFonts w:hint="eastAsia" w:asciiTheme="minorEastAsia" w:hAnsiTheme="minorEastAsia" w:eastAsiaTheme="minorEastAsia" w:cstheme="minorEastAsia"/>
                <w:sz w:val="24"/>
              </w:rPr>
            </w:pPr>
          </w:p>
        </w:tc>
        <w:tc>
          <w:tcPr>
            <w:tcW w:w="864"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7379"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可燃液体－闪点低于55℃，压力下保持液态，在实际操作条件下（如高温高压）可以引起重大事故的物质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gridSpan w:val="2"/>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爆炸性物质</w:t>
            </w:r>
          </w:p>
        </w:tc>
        <w:tc>
          <w:tcPr>
            <w:tcW w:w="7379" w:type="dxa"/>
            <w:gridSpan w:val="3"/>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在火焰影响下可以爆炸，或者对冲击、摩擦比硝基苯更为敏感的物质</w:t>
            </w:r>
          </w:p>
        </w:tc>
      </w:tr>
    </w:tbl>
    <w:p>
      <w:pPr>
        <w:keepNext w:val="0"/>
        <w:keepLines w:val="0"/>
        <w:pageBreakBefore w:val="0"/>
        <w:widowControl w:val="0"/>
        <w:kinsoku/>
        <w:wordWrap/>
        <w:overflowPunct/>
        <w:topLinePunct w:val="0"/>
        <w:autoSpaceDE/>
        <w:autoSpaceDN/>
        <w:bidi w:val="0"/>
        <w:adjustRightInd/>
        <w:snapToGrid/>
        <w:ind w:right="0" w:rightChars="0"/>
        <w:jc w:val="left"/>
        <w:textAlignment w:val="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备注：（1）有毒物质判定标准序号为1、2的物质，属于剧毒物质；符合有毒物质判定标准序号3的属于一般毒物。</w:t>
      </w:r>
    </w:p>
    <w:p>
      <w:pPr>
        <w:pStyle w:val="5"/>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480" w:firstLineChars="200"/>
        <w:jc w:val="left"/>
        <w:textAlignment w:val="auto"/>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kern w:val="2"/>
          <w:sz w:val="24"/>
          <w:szCs w:val="24"/>
          <w:lang w:val="en-US" w:eastAsia="zh-CN" w:bidi="ar-SA"/>
        </w:rPr>
        <w:t>（2）凡符合表中易燃物质和爆炸性物质标准的物质，均视为火灾、爆炸危险物质。</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10.2.1风险物质识别</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本项目</w:t>
      </w:r>
      <w:r>
        <w:rPr>
          <w:rFonts w:hint="eastAsia" w:asciiTheme="minorEastAsia" w:hAnsiTheme="minorEastAsia" w:eastAsiaTheme="minorEastAsia" w:cstheme="minorEastAsia"/>
          <w:sz w:val="28"/>
          <w:szCs w:val="28"/>
          <w:lang w:val="en-US" w:eastAsia="zh-CN"/>
        </w:rPr>
        <w:t>使用的胶水中含有甲醛，本项目危险物质功能单元重大危险源判别见表10.2-2。</w:t>
      </w:r>
    </w:p>
    <w:p>
      <w:pPr>
        <w:pStyle w:val="5"/>
        <w:spacing w:before="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表10.2-2  项目重大危险源判别</w:t>
      </w:r>
    </w:p>
    <w:tbl>
      <w:tblPr>
        <w:tblStyle w:val="21"/>
        <w:tblW w:w="9694" w:type="dxa"/>
        <w:jc w:val="center"/>
        <w:tblInd w:w="-90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2297"/>
        <w:gridCol w:w="2297"/>
        <w:gridCol w:w="2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2803" w:type="dxa"/>
            <w:tcBorders>
              <w:tl2br w:val="nil"/>
              <w:tr2bl w:val="nil"/>
            </w:tcBorders>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物质名称</w:t>
            </w:r>
          </w:p>
        </w:tc>
        <w:tc>
          <w:tcPr>
            <w:tcW w:w="2297" w:type="dxa"/>
            <w:tcBorders>
              <w:tl2br w:val="nil"/>
              <w:tr2bl w:val="nil"/>
            </w:tcBorders>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临界量Q</w:t>
            </w:r>
          </w:p>
        </w:tc>
        <w:tc>
          <w:tcPr>
            <w:tcW w:w="2297" w:type="dxa"/>
            <w:tcBorders>
              <w:tl2br w:val="nil"/>
              <w:tr2bl w:val="nil"/>
            </w:tcBorders>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实际存在量q</w:t>
            </w:r>
          </w:p>
        </w:tc>
        <w:tc>
          <w:tcPr>
            <w:tcW w:w="2297" w:type="dxa"/>
            <w:tcBorders>
              <w:tl2br w:val="nil"/>
              <w:tr2bl w:val="nil"/>
            </w:tcBorders>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q/Q</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2803" w:type="dxa"/>
            <w:tcBorders>
              <w:tl2br w:val="nil"/>
              <w:tr2bl w:val="nil"/>
            </w:tcBorders>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甲醛</w:t>
            </w:r>
          </w:p>
        </w:tc>
        <w:tc>
          <w:tcPr>
            <w:tcW w:w="2297" w:type="dxa"/>
            <w:tcBorders>
              <w:tl2br w:val="nil"/>
              <w:tr2bl w:val="nil"/>
            </w:tcBorders>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5t</w:t>
            </w:r>
          </w:p>
        </w:tc>
        <w:tc>
          <w:tcPr>
            <w:tcW w:w="2297" w:type="dxa"/>
            <w:tcBorders>
              <w:tl2br w:val="nil"/>
              <w:tr2bl w:val="nil"/>
            </w:tcBorders>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0.3</w:t>
            </w:r>
            <w:r>
              <w:rPr>
                <w:rFonts w:hint="eastAsia" w:asciiTheme="minorEastAsia" w:hAnsiTheme="minorEastAsia" w:eastAsiaTheme="minorEastAsia" w:cstheme="minorEastAsia"/>
                <w:sz w:val="24"/>
              </w:rPr>
              <w:t>t</w:t>
            </w:r>
          </w:p>
        </w:tc>
        <w:tc>
          <w:tcPr>
            <w:tcW w:w="2297" w:type="dxa"/>
            <w:tcBorders>
              <w:tl2br w:val="nil"/>
              <w:tr2bl w:val="nil"/>
            </w:tcBorders>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0.06</w:t>
            </w:r>
          </w:p>
        </w:tc>
      </w:tr>
    </w:tbl>
    <w:p>
      <w:pPr>
        <w:spacing w:before="120" w:beforeLines="5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由表10.2-2可以看出，本项目不构成危险化学品重大危险源。</w:t>
      </w:r>
    </w:p>
    <w:p>
      <w:pPr>
        <w:pStyle w:val="30"/>
        <w:spacing w:before="120" w:after="120"/>
        <w:rPr>
          <w:rFonts w:hint="eastAsia" w:asciiTheme="minorEastAsia" w:hAnsiTheme="minorEastAsia" w:eastAsiaTheme="minorEastAsia" w:cstheme="minorEastAsia"/>
        </w:rPr>
      </w:pPr>
      <w:bookmarkStart w:id="91" w:name="_Toc11363"/>
      <w:bookmarkStart w:id="92" w:name="_Toc466548260"/>
      <w:r>
        <w:rPr>
          <w:rFonts w:hint="eastAsia" w:asciiTheme="minorEastAsia" w:hAnsiTheme="minorEastAsia" w:eastAsiaTheme="minorEastAsia" w:cstheme="minorEastAsia"/>
        </w:rPr>
        <w:t>10.3风险源项分析</w:t>
      </w:r>
      <w:bookmarkEnd w:id="91"/>
      <w:bookmarkEnd w:id="92"/>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本项目</w:t>
      </w:r>
      <w:r>
        <w:rPr>
          <w:rFonts w:hint="eastAsia" w:asciiTheme="minorEastAsia" w:hAnsiTheme="minorEastAsia" w:eastAsiaTheme="minorEastAsia" w:cstheme="minorEastAsia"/>
          <w:kern w:val="0"/>
          <w:sz w:val="28"/>
          <w:szCs w:val="28"/>
          <w:lang w:val="en-US" w:eastAsia="zh-CN"/>
        </w:rPr>
        <w:t>三聚氰胺树脂胶含有的甲醛具有一定毒性</w:t>
      </w:r>
      <w:r>
        <w:rPr>
          <w:rFonts w:hint="eastAsia" w:asciiTheme="minorEastAsia" w:hAnsiTheme="minorEastAsia" w:eastAsiaTheme="minorEastAsia" w:cstheme="minorEastAsia"/>
          <w:kern w:val="0"/>
          <w:sz w:val="28"/>
          <w:szCs w:val="28"/>
        </w:rPr>
        <w:t>，如管理不善，易导致</w:t>
      </w:r>
      <w:r>
        <w:rPr>
          <w:rFonts w:hint="eastAsia" w:asciiTheme="minorEastAsia" w:hAnsiTheme="minorEastAsia" w:eastAsiaTheme="minorEastAsia" w:cstheme="minorEastAsia"/>
          <w:kern w:val="0"/>
          <w:sz w:val="28"/>
          <w:szCs w:val="28"/>
          <w:lang w:val="en-US" w:eastAsia="zh-CN"/>
        </w:rPr>
        <w:t>中毒等事件</w:t>
      </w:r>
      <w:r>
        <w:rPr>
          <w:rFonts w:hint="eastAsia" w:asciiTheme="minorEastAsia" w:hAnsiTheme="minorEastAsia" w:eastAsiaTheme="minorEastAsia" w:cstheme="minorEastAsia"/>
          <w:kern w:val="0"/>
          <w:sz w:val="28"/>
          <w:szCs w:val="28"/>
        </w:rPr>
        <w:t>。</w:t>
      </w:r>
    </w:p>
    <w:p>
      <w:pPr>
        <w:pStyle w:val="30"/>
        <w:spacing w:before="120" w:after="120"/>
        <w:rPr>
          <w:rFonts w:hint="eastAsia" w:asciiTheme="minorEastAsia" w:hAnsiTheme="minorEastAsia" w:eastAsiaTheme="minorEastAsia" w:cstheme="minorEastAsia"/>
        </w:rPr>
      </w:pPr>
      <w:bookmarkStart w:id="93" w:name="_Toc466548261"/>
      <w:bookmarkStart w:id="94" w:name="_Toc8910"/>
      <w:r>
        <w:rPr>
          <w:rFonts w:hint="eastAsia" w:asciiTheme="minorEastAsia" w:hAnsiTheme="minorEastAsia" w:eastAsiaTheme="minorEastAsia" w:cstheme="minorEastAsia"/>
        </w:rPr>
        <w:t>10.4环境风险影响分析</w:t>
      </w:r>
      <w:bookmarkEnd w:id="93"/>
      <w:bookmarkEnd w:id="94"/>
    </w:p>
    <w:p>
      <w:pPr>
        <w:spacing w:line="360" w:lineRule="auto"/>
        <w:ind w:firstLine="560" w:firstLineChars="200"/>
        <w:rPr>
          <w:rFonts w:hint="eastAsia" w:asciiTheme="minorEastAsia" w:hAnsiTheme="minorEastAsia" w:eastAsiaTheme="minorEastAsia" w:cstheme="minorEastAsia"/>
          <w:kern w:val="0"/>
          <w:sz w:val="28"/>
          <w:szCs w:val="28"/>
        </w:rPr>
      </w:pPr>
      <w:bookmarkStart w:id="95" w:name="_Toc466548262"/>
      <w:r>
        <w:rPr>
          <w:rFonts w:hint="eastAsia" w:asciiTheme="minorEastAsia" w:hAnsiTheme="minorEastAsia" w:eastAsiaTheme="minorEastAsia" w:cstheme="minorEastAsia"/>
          <w:kern w:val="0"/>
          <w:sz w:val="28"/>
          <w:szCs w:val="28"/>
          <w:lang w:val="en-US" w:eastAsia="zh-CN"/>
        </w:rPr>
        <w:t>甲醛危害主要表现为长期接触对皮肤粘膜的刺激作用,甲醛在室内达到一定浓度时，人就有不适感。大于0.08m</w:t>
      </w:r>
      <w:r>
        <w:rPr>
          <w:rFonts w:hint="eastAsia" w:asciiTheme="minorEastAsia" w:hAnsiTheme="minorEastAsia" w:eastAsiaTheme="minorEastAsia" w:cstheme="minorEastAsia"/>
          <w:kern w:val="0"/>
          <w:sz w:val="28"/>
          <w:szCs w:val="28"/>
          <w:vertAlign w:val="superscript"/>
          <w:lang w:val="en-US" w:eastAsia="zh-CN"/>
        </w:rPr>
        <w:t>3</w:t>
      </w:r>
      <w:r>
        <w:rPr>
          <w:rFonts w:hint="eastAsia" w:asciiTheme="minorEastAsia" w:hAnsiTheme="minorEastAsia" w:eastAsiaTheme="minorEastAsia" w:cstheme="minorEastAsia"/>
          <w:kern w:val="0"/>
          <w:sz w:val="28"/>
          <w:szCs w:val="28"/>
          <w:lang w:val="en-US" w:eastAsia="zh-CN"/>
        </w:rPr>
        <w:t>的甲醛浓度可引起眼红、眼痒、咽喉不适或疼痛、声音嘶哑、喷嚏、胸闷、气喘、皮炎等，甚至致癌。</w:t>
      </w:r>
    </w:p>
    <w:p>
      <w:pPr>
        <w:pStyle w:val="30"/>
        <w:spacing w:before="120" w:after="120"/>
        <w:rPr>
          <w:rFonts w:hint="eastAsia" w:asciiTheme="minorEastAsia" w:hAnsiTheme="minorEastAsia" w:eastAsiaTheme="minorEastAsia" w:cstheme="minorEastAsia"/>
        </w:rPr>
      </w:pPr>
      <w:bookmarkStart w:id="96" w:name="_Toc5053"/>
      <w:r>
        <w:rPr>
          <w:rFonts w:hint="eastAsia" w:asciiTheme="minorEastAsia" w:hAnsiTheme="minorEastAsia" w:eastAsiaTheme="minorEastAsia" w:cstheme="minorEastAsia"/>
        </w:rPr>
        <w:t>10.5环境风险防范措施</w:t>
      </w:r>
      <w:bookmarkEnd w:id="95"/>
      <w:bookmarkEnd w:id="96"/>
    </w:p>
    <w:p>
      <w:pPr>
        <w:spacing w:line="360" w:lineRule="auto"/>
        <w:jc w:val="left"/>
        <w:rPr>
          <w:rFonts w:hint="eastAsia" w:asciiTheme="minorEastAsia" w:hAnsiTheme="minorEastAsia" w:eastAsiaTheme="minorEastAsia" w:cstheme="minorEastAsia"/>
          <w:b/>
          <w:bCs w:val="0"/>
          <w:kern w:val="0"/>
          <w:sz w:val="24"/>
          <w:szCs w:val="20"/>
          <w:lang w:val="zh-CN" w:eastAsia="zh-CN" w:bidi="ar-SA"/>
        </w:rPr>
      </w:pPr>
      <w:r>
        <w:rPr>
          <w:rFonts w:hint="eastAsia" w:asciiTheme="minorEastAsia" w:hAnsiTheme="minorEastAsia" w:eastAsiaTheme="minorEastAsia" w:cstheme="minorEastAsia"/>
          <w:b/>
          <w:bCs w:val="0"/>
          <w:kern w:val="0"/>
          <w:sz w:val="24"/>
          <w:szCs w:val="20"/>
          <w:lang w:val="en-US" w:eastAsia="zh-CN" w:bidi="ar-SA"/>
        </w:rPr>
        <w:t>10.5.</w:t>
      </w:r>
      <w:r>
        <w:rPr>
          <w:rFonts w:hint="eastAsia" w:asciiTheme="minorEastAsia" w:hAnsiTheme="minorEastAsia" w:eastAsiaTheme="minorEastAsia" w:cstheme="minorEastAsia"/>
          <w:b/>
          <w:bCs w:val="0"/>
          <w:kern w:val="0"/>
          <w:sz w:val="24"/>
          <w:szCs w:val="20"/>
          <w:lang w:val="zh-CN" w:eastAsia="zh-CN" w:bidi="ar-SA"/>
        </w:rPr>
        <w:t>1、建筑安全防范措施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（1）厂房建设及总体布局已严格按照《</w:t>
      </w:r>
      <w:r>
        <w:rPr>
          <w:rFonts w:hint="eastAsia" w:asciiTheme="minorEastAsia" w:hAnsiTheme="minorEastAsia" w:eastAsiaTheme="minorEastAsia" w:cstheme="minorEastAsia"/>
          <w:kern w:val="0"/>
          <w:sz w:val="28"/>
          <w:szCs w:val="28"/>
        </w:rPr>
        <w:fldChar w:fldCharType="begin"/>
      </w:r>
      <w:r>
        <w:rPr>
          <w:rFonts w:hint="eastAsia" w:asciiTheme="minorEastAsia" w:hAnsiTheme="minorEastAsia" w:eastAsiaTheme="minorEastAsia" w:cstheme="minorEastAsia"/>
          <w:kern w:val="0"/>
          <w:sz w:val="28"/>
          <w:szCs w:val="28"/>
        </w:rPr>
        <w:instrText xml:space="preserve"> HYPERLINK "http://ishare.iask.sina.com.cn/f/10408343.html" \t "_blank" </w:instrText>
      </w:r>
      <w:r>
        <w:rPr>
          <w:rFonts w:hint="eastAsia" w:asciiTheme="minorEastAsia" w:hAnsiTheme="minorEastAsia" w:eastAsiaTheme="minorEastAsia" w:cstheme="minorEastAsia"/>
          <w:kern w:val="0"/>
          <w:sz w:val="28"/>
          <w:szCs w:val="28"/>
        </w:rPr>
        <w:fldChar w:fldCharType="separate"/>
      </w:r>
      <w:r>
        <w:rPr>
          <w:rFonts w:hint="eastAsia" w:asciiTheme="minorEastAsia" w:hAnsiTheme="minorEastAsia" w:eastAsiaTheme="minorEastAsia" w:cstheme="minorEastAsia"/>
          <w:kern w:val="0"/>
          <w:sz w:val="28"/>
          <w:szCs w:val="28"/>
        </w:rPr>
        <w:t>工业企业总平面设计规范》（GB50187-93</w:t>
      </w:r>
      <w:r>
        <w:rPr>
          <w:rFonts w:hint="eastAsia" w:asciiTheme="minorEastAsia" w:hAnsiTheme="minorEastAsia" w:eastAsiaTheme="minorEastAsia" w:cstheme="minorEastAsia"/>
          <w:kern w:val="0"/>
          <w:sz w:val="28"/>
          <w:szCs w:val="28"/>
        </w:rPr>
        <w:fldChar w:fldCharType="end"/>
      </w:r>
      <w:r>
        <w:rPr>
          <w:rFonts w:hint="eastAsia" w:asciiTheme="minorEastAsia" w:hAnsiTheme="minorEastAsia" w:eastAsiaTheme="minorEastAsia" w:cstheme="minorEastAsia"/>
          <w:kern w:val="0"/>
          <w:sz w:val="28"/>
          <w:szCs w:val="28"/>
        </w:rPr>
        <w:t>）、《建筑设计放火规范》（GBJ16-87[2001版]）等国家有关法规及技术标准的相关规定执行。</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（2）厂房采用钢筋混凝土柱，钢柱承重的框架或排架结构、各建筑承重墙钢结构必须按规范涂上防火涂料，使其耐火等级达到相应要求。</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w:t>
      </w:r>
      <w:r>
        <w:rPr>
          <w:rFonts w:hint="eastAsia" w:asciiTheme="minorEastAsia" w:hAnsiTheme="minorEastAsia" w:eastAsiaTheme="minorEastAsia" w:cstheme="minorEastAsia"/>
          <w:kern w:val="0"/>
          <w:sz w:val="28"/>
          <w:szCs w:val="28"/>
          <w:lang w:val="en-US" w:eastAsia="zh-CN"/>
        </w:rPr>
        <w:t>在胶水配料储罐区设置围堰，并加强通风设施。</w:t>
      </w:r>
    </w:p>
    <w:p>
      <w:pPr>
        <w:spacing w:line="360" w:lineRule="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b/>
          <w:bCs w:val="0"/>
          <w:kern w:val="0"/>
          <w:sz w:val="24"/>
          <w:szCs w:val="20"/>
          <w:lang w:val="en-US" w:eastAsia="zh-CN" w:bidi="ar-SA"/>
        </w:rPr>
        <w:t>10.5.</w:t>
      </w:r>
      <w:r>
        <w:rPr>
          <w:rFonts w:hint="eastAsia" w:asciiTheme="minorEastAsia" w:hAnsiTheme="minorEastAsia" w:eastAsiaTheme="minorEastAsia" w:cstheme="minorEastAsia"/>
          <w:b/>
          <w:bCs w:val="0"/>
          <w:kern w:val="0"/>
          <w:sz w:val="24"/>
          <w:szCs w:val="20"/>
          <w:lang w:val="zh-CN" w:eastAsia="zh-CN" w:bidi="ar-SA"/>
        </w:rPr>
        <w:t>2</w:t>
      </w:r>
      <w:r>
        <w:rPr>
          <w:rFonts w:hint="eastAsia" w:asciiTheme="minorEastAsia" w:hAnsiTheme="minorEastAsia" w:eastAsiaTheme="minorEastAsia" w:cstheme="minorEastAsia"/>
          <w:b/>
          <w:bCs w:val="0"/>
          <w:kern w:val="0"/>
          <w:sz w:val="24"/>
          <w:szCs w:val="20"/>
          <w:lang w:val="en-US" w:eastAsia="zh-CN" w:bidi="ar-SA"/>
        </w:rPr>
        <w:t xml:space="preserve"> </w:t>
      </w:r>
      <w:r>
        <w:rPr>
          <w:rFonts w:hint="eastAsia" w:asciiTheme="minorEastAsia" w:hAnsiTheme="minorEastAsia" w:eastAsiaTheme="minorEastAsia" w:cstheme="minorEastAsia"/>
          <w:b/>
          <w:bCs w:val="0"/>
          <w:kern w:val="0"/>
          <w:sz w:val="24"/>
          <w:szCs w:val="20"/>
          <w:lang w:val="zh-CN" w:eastAsia="zh-CN" w:bidi="ar-SA"/>
        </w:rPr>
        <w:t>生产管理风险防范措施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（1）建立和完善各级安全生产责任制，并切实落到实处。生产管理人员必须重视安全生产，积极推广科学安全管理方法，强化安全操作制度和劳动纪律。</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对职工要加强职业培训和安全教育。培养职工要有高度的安全生产责任心，并且要熟悉相应的业务，有熟练的操作技能，具备有关物料、设备、设施、工艺参数变动及泄漏等的危险、危害知识，在紧急情况下能采取正确的应急方法。</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（3）加强对新职工和转岗职工的专业培训、安全教育和考核。新进人员必须经过专业培训和三级安全教育，并经考试合格后方可持证上岗。</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（4）制定出尽可能完善的各项安全生产规章制度并贯彻执行。</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（5）建立健全各工种安全操作规程并坚持执行。</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（6）应针对事故发生情况制定详细的事故应急救援预案，并定期进行演练和检查救援设施器具的良好度。</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（7）建立健全安全检查制度，定期进行安全检查，及时整改安全隐患，防止事故发生。</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（8）制定完善各项安全管理制度、岗位操作规程、作业安全规程以指导公司今后的安全生产工作。</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（9）根据“管生产必须管安全“的原则，企业法人代表是安全生产的第一责任人，各级领导负有相应的安全生产责任，应进一步细化安全责任制，明确每个员工的安全职责，做到有岗必有责，并应持证上岗。</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（10）切实加强对工艺操作的安全管理，确保工艺操作规程和安全操作规程的贯彻执行。尤其要加强对工艺过程指标控制，操作人员的劳动保护用品的穿戴加强管理，确保安全作业。</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11）不断加强对全体职工职业培训、教育。使职工具有高度的安全责任心、慎密的态度，并且要熟悉相应的业务，有熟练的操作技能，具备有关物料、设备、设施、防止工艺参数变动等危险、危害知识和应急处理能力。</w:t>
      </w:r>
    </w:p>
    <w:p>
      <w:pPr>
        <w:pStyle w:val="30"/>
        <w:spacing w:before="120" w:after="120"/>
        <w:rPr>
          <w:rFonts w:hint="eastAsia" w:asciiTheme="minorEastAsia" w:hAnsiTheme="minorEastAsia" w:eastAsiaTheme="minorEastAsia" w:cstheme="minorEastAsia"/>
        </w:rPr>
      </w:pPr>
      <w:bookmarkStart w:id="97" w:name="_Toc23184"/>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 xml:space="preserve"> 风险事故应急预案</w:t>
      </w:r>
      <w:bookmarkEnd w:id="97"/>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根据国家环保总局（90）环管字057 号文及苏环办〔2009〕161 号的要求，通过对污染事故的风险评价，各有关企业单位应制定防止重大环境污染事故发生的工作计划，消除事故隐患的实施及突发性事故应急处理办法。</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应急预案包括的原则内容见表10.</w:t>
      </w:r>
      <w:r>
        <w:rPr>
          <w:rFonts w:hint="eastAsia" w:asciiTheme="minorEastAsia" w:hAnsiTheme="minorEastAsia" w:eastAsiaTheme="minorEastAsia" w:cstheme="minorEastAsia"/>
          <w:kern w:val="0"/>
          <w:sz w:val="28"/>
          <w:szCs w:val="28"/>
          <w:lang w:val="en-US" w:eastAsia="zh-CN"/>
        </w:rPr>
        <w:t>6</w:t>
      </w:r>
      <w:r>
        <w:rPr>
          <w:rFonts w:hint="eastAsia" w:asciiTheme="minorEastAsia" w:hAnsiTheme="minorEastAsia" w:eastAsiaTheme="minorEastAsia" w:cstheme="minorEastAsia"/>
          <w:kern w:val="0"/>
          <w:sz w:val="28"/>
          <w:szCs w:val="28"/>
        </w:rPr>
        <w:t>-1。</w:t>
      </w:r>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表10.</w:t>
      </w:r>
      <w:r>
        <w:rPr>
          <w:rFonts w:hint="eastAsia" w:asciiTheme="minorEastAsia" w:hAnsiTheme="minorEastAsia" w:eastAsiaTheme="minorEastAsia" w:cstheme="minorEastAsia"/>
          <w:b/>
          <w:sz w:val="28"/>
          <w:szCs w:val="28"/>
          <w:lang w:val="en-US" w:eastAsia="zh-CN"/>
        </w:rPr>
        <w:t>6</w:t>
      </w:r>
      <w:r>
        <w:rPr>
          <w:rFonts w:hint="eastAsia" w:asciiTheme="minorEastAsia" w:hAnsiTheme="minorEastAsia" w:eastAsiaTheme="minorEastAsia" w:cstheme="minorEastAsia"/>
          <w:b/>
          <w:sz w:val="28"/>
          <w:szCs w:val="28"/>
        </w:rPr>
        <w:t>-1  环境风险应急预案主要内容</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9"/>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2529"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w:t>
            </w:r>
          </w:p>
        </w:tc>
        <w:tc>
          <w:tcPr>
            <w:tcW w:w="5182" w:type="dxa"/>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应急计划区</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危险目标：装置区、贮罐区、环境保护目标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应急组织机构、人员</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预案分级响应条件</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应急救援保障</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报警、通讯联络方式</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应急环境监测、抢险、救援及控制措施</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应急检测、防护措施、清除泄漏措施和器材</w:t>
            </w:r>
          </w:p>
        </w:tc>
        <w:tc>
          <w:tcPr>
            <w:tcW w:w="5182" w:type="dxa"/>
            <w:vAlign w:val="center"/>
          </w:tcPr>
          <w:p>
            <w:pPr>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人员紧急撤离、疏散，应急剂量控制、撤离组织计划</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事故应急救援关闭程序与恢复措施</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应急培训计划</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17"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w:t>
            </w:r>
          </w:p>
        </w:tc>
        <w:tc>
          <w:tcPr>
            <w:tcW w:w="2529"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公众教育和信息</w:t>
            </w:r>
          </w:p>
        </w:tc>
        <w:tc>
          <w:tcPr>
            <w:tcW w:w="5182" w:type="dxa"/>
            <w:vAlign w:val="center"/>
          </w:tcPr>
          <w:p>
            <w:pPr>
              <w:adjustRightInd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对工厂邻近地区开展公众教育、培训和发布有关信息</w:t>
            </w:r>
          </w:p>
        </w:tc>
      </w:tr>
    </w:tbl>
    <w:p>
      <w:pPr>
        <w:pStyle w:val="30"/>
        <w:spacing w:before="120" w:after="120"/>
        <w:rPr>
          <w:rFonts w:hint="eastAsia" w:asciiTheme="minorEastAsia" w:hAnsiTheme="minorEastAsia" w:eastAsiaTheme="minorEastAsia" w:cstheme="minorEastAsia"/>
        </w:rPr>
      </w:pPr>
      <w:bookmarkStart w:id="98" w:name="_Toc13990"/>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CN"/>
        </w:rPr>
        <w:t xml:space="preserve">7 </w:t>
      </w:r>
      <w:r>
        <w:rPr>
          <w:rFonts w:hint="eastAsia" w:asciiTheme="minorEastAsia" w:hAnsiTheme="minorEastAsia" w:eastAsiaTheme="minorEastAsia" w:cstheme="minorEastAsia"/>
        </w:rPr>
        <w:t>环境事件社会稳定风险评估</w:t>
      </w:r>
      <w:bookmarkEnd w:id="98"/>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社会稳定风险评估，是指与人民群众利益密切相关的重大决策、重要正常、重大改革措施、重大工程建设项目、与社会公共秩序相关的重大活动等重大事项在制定出台、组织实施或审批审核前，对可能影响社会稳定的因素开展系统的调查，科学的预测、分析和评估，制定风险应对策略和预案。</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为从源头上预防、减少和化解社会稳定风险，促进社会和谐稳定，建设项目需开展社会稳定风险评估工作，为有效规避、预防、控制项目实施中可能产生的社会稳定风险提供依据。</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本次评估从以下三个方面对本项目的环境事项社会稳定风险进行评估。</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.1本项目规范性分析</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公司属地注册、纳税，在当地招聘员工。工作人员通常没有特殊的宗教信仰和文化传统，对当地民族风俗习惯和宗教不会产生影响。项目运营中有关供电、供水、员工社保等基本按照当地法规执行，不存在不协调或社会矛盾，不会造成相应的社会矛盾。同时，公司也得到了当地政府的大力支持。有此可见，项目的建设在当地具有良好的群众基础。</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.2社会影响和适应性分析</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（1）社会影响分析</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本项目符合国家和江苏省现行产业政策，在运行过程中，采用先进生产工艺和环保治理设施，使得项目在增加当地GDP同时，污染物的排放量也在环境容许范围内。另外，项目建成投产也将提高当地的物流总量，有利于提高当地居民的收入水平，增加居民就业，改善生活质量。同时，当地社会阶层的相关部门也将从企业的发展中受益。因此，本项目有利于社会发展，有利于提高当地经济水平。</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（2）社会适应性分析</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基于上述影响分析，项目继续运行后，因物流的大幅增加会提高当地社会运输能力，带动运输以及相关产业的发展，增加地方财政收入，扩大就业机会，提高当地居民收入水平和居民生活水平，促进当地的文化和教育事业发展，增加当地的工业实力，体现在：</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①原辅材料的采购、产品的销售将以地销为主，地销通过便捷的公路运输网络，有效降低运输费用，增强产品的终端竞争能力。</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②本项目环保投入将切实保证达标排放，注重社会生态效益，实现清洁生产。</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③通过加强内部管理和操作培训，落实好各项车间生产制度，加强液氨等危化品的贮存、运输过程的管理强化事故防范措施，并做好三废处理处置，保证达标排放。经采取上述措施后，到目前为止，公司未发生过环境污染事故。</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④通过建设与开发区对接、联动的风险防范体系，保证应急指挥部与周边企业、开发区管委会及周边村庄村委会保持24 小时的电话联系。一旦发生风险事故，可在第一时间通知相关单位组织居民疏散、撤离，确保不发生影响社会治安和社会稳定的事件。</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.3风险防范化解措施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对可能出现的问题应加强防范，对可能出现的问题应进行有效化解，根据有关规定和要求，为维护社会稳定，应成立维护社会稳定和平安建设工作协调领导工作组，以采取有效措施，制定化解社会稳定风险措施，维护社会稳定。</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（1）群众支持问题风险化解措施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在群众总体支持项目建设的前提下，针对群众较为关心和关注的问题，如环境保护、生态破坏等采取相应的措施，作为重要的关注点。</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①针对工程运行后对自然环境和生态环境的不利影响，严格按照有关规定采取措施，使不利的负面影响最小化。</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②本项目职工基本为附近村庄居民，为地方提供了更多的就业机会，提高居民经济收入。</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③基础设施建设过程中在满足工程要求的同时，尽可能方便当地居民，改善当地其它基础设施条件，为当地建设带来一定贡献。</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（2）受损补偿问题风险化解措施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①广泛深入宣传国家政策、法律法规和地方规定；</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②对居民存在的疑问及时耐心解释和引导工作；</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③保持居民反映和申述渠道的畅通。</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（3）利益述求问题风险化解措施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①当地政府和建设单位设立专门部门，听取居民正常述求；</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②主动了解群众思想动态和述求需求；</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③及时解决和处理相关利益方的述求，对不能及时解决的应协调有关部门解决；</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④保持利益相关方述求渠道的畅通，并及时与当地政府部门密切配合，解决有关问题。</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（4）其它不可预见性问题风险化解措施</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针对其它不可预见性的问题，建设单位在日常工作中，除与当地居民多沟通交流外，还应注重于当地党委、政府沟通交流和互通情况，及时分析和预测可能出现的不确定问题，采取预防或防范措施，注重及时发现和观察细微矛盾的出现，及时制定应对和采取相应措施加以解决，预防矛盾的积累和集中爆发。</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预防和解决社会稳定风险问题，建设单位所依靠的主要是当地政府，因此建设单位应与政府有关部门、当地群众及时交流信息，将有可能影响社会稳定和事关群众利益的问题尽可能圆满解决，前期各项工作积极稳妥地推进，尤其是认真做好个人实物的补偿和解决好工程建设与居民切身的利益问题，同时在地方政府的领导下，根据有关规定和要求，组建专门机构，并配备相应人员，处理相关事务，切实做好维护社会稳定，使工程建设真正起到带动当地经济，造福一方百姓的作用。</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.4小结</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目前，环保问题、资源问题和可持续发展问题日益成为制约社会和经济发展的最重要因素之一，随着经济发展水平和人们认识的不断提高，人们对环境保护的认识不断增强。本项目符合国家及地方相关产业政策，运行过程秉持清洁生产和循环经济的理念，不断优化生产工艺，提高资源利用率，降低污染物的排放。因此经营理念和运行管理上都有利于社会的稳定。</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其次，项目的投产运营，能增加就业岗位，提高就业机会，辅以带动物流等更多产业的发展，有利于提高当地居民和财政收入，改善生活条件。</w:t>
      </w:r>
    </w:p>
    <w:p>
      <w:pPr>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综上所述，本项目正常运行发生环境事件社会风险概率较低。</w:t>
      </w: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kern w:val="0"/>
          <w:sz w:val="28"/>
          <w:szCs w:val="28"/>
        </w:rPr>
      </w:pPr>
    </w:p>
    <w:p>
      <w:pPr>
        <w:pStyle w:val="29"/>
        <w:spacing w:before="120" w:after="120"/>
        <w:jc w:val="center"/>
        <w:rPr>
          <w:rFonts w:hint="eastAsia" w:asciiTheme="minorEastAsia" w:hAnsiTheme="minorEastAsia" w:eastAsiaTheme="minorEastAsia" w:cstheme="minorEastAsia"/>
        </w:rPr>
      </w:pPr>
    </w:p>
    <w:p>
      <w:pPr>
        <w:pStyle w:val="29"/>
        <w:spacing w:before="120" w:after="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bookmarkStart w:id="99" w:name="_Toc22632"/>
      <w:r>
        <w:rPr>
          <w:rFonts w:hint="eastAsia" w:asciiTheme="minorEastAsia" w:hAnsiTheme="minorEastAsia" w:eastAsiaTheme="minorEastAsia" w:cstheme="minorEastAsia"/>
        </w:rPr>
        <w:t>第11章 污染防治措施及其技术经济论证</w:t>
      </w:r>
      <w:bookmarkEnd w:id="99"/>
    </w:p>
    <w:p>
      <w:pPr>
        <w:pStyle w:val="30"/>
        <w:spacing w:before="120" w:after="120"/>
        <w:rPr>
          <w:rFonts w:hint="eastAsia" w:asciiTheme="minorEastAsia" w:hAnsiTheme="minorEastAsia" w:eastAsiaTheme="minorEastAsia" w:cstheme="minorEastAsia"/>
        </w:rPr>
      </w:pPr>
      <w:bookmarkStart w:id="100" w:name="_Toc14849"/>
      <w:r>
        <w:rPr>
          <w:rFonts w:hint="eastAsia" w:asciiTheme="minorEastAsia" w:hAnsiTheme="minorEastAsia" w:eastAsiaTheme="minorEastAsia" w:cstheme="minorEastAsia"/>
        </w:rPr>
        <w:t>11.1 工程建设的污染防治措施调查</w:t>
      </w:r>
      <w:bookmarkEnd w:id="100"/>
    </w:p>
    <w:p>
      <w:pPr>
        <w:spacing w:line="520" w:lineRule="exact"/>
        <w:ind w:firstLine="560" w:firstLineChars="200"/>
        <w:rPr>
          <w:rFonts w:hint="eastAsia" w:hAnsi="宋体"/>
          <w:sz w:val="28"/>
          <w:szCs w:val="28"/>
        </w:rPr>
      </w:pPr>
      <w:r>
        <w:rPr>
          <w:rFonts w:hint="eastAsia" w:hAnsi="宋体"/>
          <w:sz w:val="28"/>
          <w:szCs w:val="28"/>
        </w:rPr>
        <w:t>该项目目前采取的主要污染防治措施及拟采取的整改措施详见表11.1-1。</w:t>
      </w:r>
    </w:p>
    <w:p>
      <w:pPr>
        <w:snapToGrid w:val="0"/>
        <w:spacing w:line="360" w:lineRule="auto"/>
        <w:jc w:val="center"/>
        <w:rPr>
          <w:rFonts w:hAnsi="宋体"/>
          <w:sz w:val="28"/>
          <w:szCs w:val="28"/>
        </w:rPr>
      </w:pPr>
      <w:r>
        <w:rPr>
          <w:rFonts w:hAnsi="宋体"/>
          <w:sz w:val="28"/>
          <w:szCs w:val="28"/>
        </w:rPr>
        <w:t>表</w:t>
      </w:r>
      <w:r>
        <w:rPr>
          <w:rFonts w:hint="eastAsia" w:hAnsi="宋体"/>
          <w:sz w:val="28"/>
          <w:szCs w:val="28"/>
        </w:rPr>
        <w:t>11.1-1</w:t>
      </w:r>
      <w:r>
        <w:rPr>
          <w:rFonts w:hAnsi="宋体"/>
          <w:sz w:val="28"/>
          <w:szCs w:val="28"/>
        </w:rPr>
        <w:t xml:space="preserve">   </w:t>
      </w:r>
      <w:r>
        <w:rPr>
          <w:rFonts w:hint="eastAsia" w:hAnsi="宋体"/>
          <w:sz w:val="28"/>
          <w:szCs w:val="28"/>
        </w:rPr>
        <w:t>该项目现有</w:t>
      </w:r>
      <w:r>
        <w:rPr>
          <w:rFonts w:hAnsi="宋体"/>
          <w:sz w:val="28"/>
          <w:szCs w:val="28"/>
        </w:rPr>
        <w:t>环保措施</w:t>
      </w:r>
      <w:r>
        <w:rPr>
          <w:rFonts w:hint="eastAsia" w:hAnsi="宋体"/>
          <w:sz w:val="28"/>
          <w:szCs w:val="28"/>
        </w:rPr>
        <w:t>及整改措施</w:t>
      </w:r>
      <w:r>
        <w:rPr>
          <w:rFonts w:hAnsi="宋体"/>
          <w:sz w:val="28"/>
          <w:szCs w:val="28"/>
        </w:rPr>
        <w:t>一览表</w:t>
      </w:r>
    </w:p>
    <w:tbl>
      <w:tblPr>
        <w:tblStyle w:val="20"/>
        <w:tblW w:w="91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6"/>
        <w:gridCol w:w="1862"/>
        <w:gridCol w:w="4691"/>
        <w:gridCol w:w="16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jc w:val="center"/>
        </w:trPr>
        <w:tc>
          <w:tcPr>
            <w:tcW w:w="976" w:type="dxa"/>
            <w:vAlign w:val="center"/>
          </w:tcPr>
          <w:p>
            <w:pPr>
              <w:tabs>
                <w:tab w:val="left" w:pos="180"/>
              </w:tabs>
              <w:spacing w:line="320" w:lineRule="exact"/>
              <w:jc w:val="center"/>
              <w:rPr>
                <w:bCs/>
                <w:sz w:val="24"/>
              </w:rPr>
            </w:pPr>
            <w:r>
              <w:rPr>
                <w:rFonts w:hAnsi="宋体"/>
                <w:bCs/>
                <w:sz w:val="24"/>
              </w:rPr>
              <w:t>类别</w:t>
            </w:r>
          </w:p>
        </w:tc>
        <w:tc>
          <w:tcPr>
            <w:tcW w:w="1862" w:type="dxa"/>
            <w:vAlign w:val="center"/>
          </w:tcPr>
          <w:p>
            <w:pPr>
              <w:tabs>
                <w:tab w:val="left" w:pos="180"/>
              </w:tabs>
              <w:spacing w:line="320" w:lineRule="exact"/>
              <w:jc w:val="center"/>
              <w:rPr>
                <w:rFonts w:hint="eastAsia"/>
                <w:bCs/>
                <w:sz w:val="24"/>
              </w:rPr>
            </w:pPr>
            <w:r>
              <w:rPr>
                <w:rFonts w:hint="eastAsia" w:hAnsi="宋体"/>
                <w:bCs/>
                <w:sz w:val="24"/>
              </w:rPr>
              <w:t>污染源</w:t>
            </w:r>
          </w:p>
        </w:tc>
        <w:tc>
          <w:tcPr>
            <w:tcW w:w="4691" w:type="dxa"/>
            <w:vAlign w:val="center"/>
          </w:tcPr>
          <w:p>
            <w:pPr>
              <w:tabs>
                <w:tab w:val="left" w:pos="180"/>
              </w:tabs>
              <w:spacing w:line="320" w:lineRule="exact"/>
              <w:jc w:val="center"/>
              <w:rPr>
                <w:rFonts w:hint="eastAsia"/>
                <w:bCs/>
                <w:sz w:val="24"/>
              </w:rPr>
            </w:pPr>
            <w:r>
              <w:rPr>
                <w:rFonts w:hint="eastAsia" w:hAnsi="宋体"/>
                <w:bCs/>
                <w:sz w:val="24"/>
              </w:rPr>
              <w:t>现有措施</w:t>
            </w:r>
          </w:p>
        </w:tc>
        <w:tc>
          <w:tcPr>
            <w:tcW w:w="1609" w:type="dxa"/>
            <w:vAlign w:val="center"/>
          </w:tcPr>
          <w:p>
            <w:pPr>
              <w:tabs>
                <w:tab w:val="left" w:pos="180"/>
              </w:tabs>
              <w:spacing w:line="320" w:lineRule="exact"/>
              <w:jc w:val="center"/>
              <w:rPr>
                <w:rFonts w:hint="eastAsia"/>
                <w:bCs/>
                <w:sz w:val="24"/>
              </w:rPr>
            </w:pPr>
            <w:r>
              <w:rPr>
                <w:rFonts w:hint="eastAsia" w:hAnsi="宋体"/>
                <w:bCs/>
                <w:sz w:val="24"/>
              </w:rPr>
              <w:t>整改措施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8" w:hRule="atLeast"/>
          <w:jc w:val="center"/>
        </w:trPr>
        <w:tc>
          <w:tcPr>
            <w:tcW w:w="976" w:type="dxa"/>
            <w:vMerge w:val="restart"/>
            <w:vAlign w:val="center"/>
          </w:tcPr>
          <w:p>
            <w:pPr>
              <w:tabs>
                <w:tab w:val="left" w:pos="180"/>
              </w:tabs>
              <w:spacing w:line="320" w:lineRule="exact"/>
              <w:jc w:val="center"/>
              <w:rPr>
                <w:bCs/>
                <w:sz w:val="24"/>
              </w:rPr>
            </w:pPr>
            <w:r>
              <w:rPr>
                <w:rFonts w:hAnsi="宋体"/>
                <w:bCs/>
                <w:sz w:val="24"/>
              </w:rPr>
              <w:t>废气</w:t>
            </w:r>
          </w:p>
        </w:tc>
        <w:tc>
          <w:tcPr>
            <w:tcW w:w="1862" w:type="dxa"/>
            <w:tcBorders>
              <w:bottom w:val="single" w:color="auto" w:sz="4" w:space="0"/>
            </w:tcBorders>
            <w:vAlign w:val="center"/>
          </w:tcPr>
          <w:p>
            <w:pPr>
              <w:tabs>
                <w:tab w:val="left" w:pos="180"/>
              </w:tabs>
              <w:jc w:val="center"/>
              <w:rPr>
                <w:rFonts w:hint="eastAsia" w:hAnsi="宋体" w:eastAsia="宋体"/>
                <w:bCs/>
                <w:sz w:val="24"/>
                <w:lang w:eastAsia="zh-CN"/>
              </w:rPr>
            </w:pPr>
            <w:r>
              <w:rPr>
                <w:rFonts w:hint="eastAsia" w:hAnsi="宋体"/>
                <w:bCs/>
                <w:sz w:val="24"/>
                <w:lang w:val="en-US" w:eastAsia="zh-CN"/>
              </w:rPr>
              <w:t>木加工粉尘</w:t>
            </w:r>
          </w:p>
        </w:tc>
        <w:tc>
          <w:tcPr>
            <w:tcW w:w="4691" w:type="dxa"/>
            <w:tcBorders>
              <w:bottom w:val="single" w:color="auto" w:sz="4" w:space="0"/>
            </w:tcBorders>
            <w:vAlign w:val="center"/>
          </w:tcPr>
          <w:p>
            <w:pPr>
              <w:tabs>
                <w:tab w:val="left" w:pos="180"/>
              </w:tabs>
              <w:spacing w:line="320" w:lineRule="exact"/>
              <w:jc w:val="center"/>
              <w:rPr>
                <w:rFonts w:hint="eastAsia"/>
                <w:bCs/>
                <w:sz w:val="24"/>
              </w:rPr>
            </w:pPr>
            <w:r>
              <w:rPr>
                <w:rFonts w:hint="eastAsia" w:hAnsi="宋体"/>
                <w:bCs/>
                <w:sz w:val="24"/>
                <w:lang w:val="en-US" w:eastAsia="zh-CN"/>
              </w:rPr>
              <w:t>经集气吸尘罩收集后通过高效旋风分离器及脉冲式布袋除尘器集中处理后通过2根15m高的排气筒高空排放</w:t>
            </w:r>
          </w:p>
        </w:tc>
        <w:tc>
          <w:tcPr>
            <w:tcW w:w="1609" w:type="dxa"/>
            <w:vMerge w:val="restart"/>
            <w:vAlign w:val="center"/>
          </w:tcPr>
          <w:p>
            <w:pPr>
              <w:tabs>
                <w:tab w:val="left" w:pos="180"/>
              </w:tabs>
              <w:spacing w:line="320" w:lineRule="exact"/>
              <w:jc w:val="center"/>
              <w:rPr>
                <w:rFonts w:hint="eastAsia"/>
                <w:bCs/>
                <w:sz w:val="24"/>
              </w:rPr>
            </w:pPr>
            <w:r>
              <w:rPr>
                <w:rFonts w:hint="eastAsia" w:hAnsi="宋体"/>
                <w:bCs/>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8"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tcBorders>
              <w:bottom w:val="single" w:color="auto" w:sz="4" w:space="0"/>
            </w:tcBorders>
            <w:vAlign w:val="center"/>
          </w:tcPr>
          <w:p>
            <w:pPr>
              <w:tabs>
                <w:tab w:val="left" w:pos="180"/>
              </w:tabs>
              <w:jc w:val="center"/>
              <w:rPr>
                <w:rFonts w:hint="eastAsia" w:hAnsi="宋体"/>
                <w:bCs/>
                <w:sz w:val="24"/>
                <w:lang w:val="en-US" w:eastAsia="zh-CN"/>
              </w:rPr>
            </w:pPr>
            <w:r>
              <w:rPr>
                <w:rFonts w:hint="eastAsia" w:hAnsi="宋体"/>
                <w:bCs/>
                <w:sz w:val="24"/>
                <w:lang w:val="en-US" w:eastAsia="zh-CN"/>
              </w:rPr>
              <w:t>上胶工段甲醛废气</w:t>
            </w:r>
          </w:p>
        </w:tc>
        <w:tc>
          <w:tcPr>
            <w:tcW w:w="4691" w:type="dxa"/>
            <w:tcBorders>
              <w:bottom w:val="single" w:color="auto" w:sz="4" w:space="0"/>
            </w:tcBorders>
            <w:vAlign w:val="center"/>
          </w:tcPr>
          <w:p>
            <w:pPr>
              <w:tabs>
                <w:tab w:val="left" w:pos="180"/>
              </w:tabs>
              <w:spacing w:line="320" w:lineRule="exact"/>
              <w:jc w:val="center"/>
              <w:rPr>
                <w:rFonts w:hint="eastAsia" w:hAnsi="宋体"/>
                <w:sz w:val="24"/>
              </w:rPr>
            </w:pPr>
            <w:r>
              <w:rPr>
                <w:rFonts w:hint="eastAsia" w:hAnsi="宋体"/>
                <w:bCs/>
                <w:sz w:val="24"/>
                <w:lang w:val="en-US" w:eastAsia="zh-CN"/>
              </w:rPr>
              <w:t>车间收尘除尘系统大流量通风机引出后通过2根15m高的排气筒高空排放</w:t>
            </w:r>
          </w:p>
        </w:tc>
        <w:tc>
          <w:tcPr>
            <w:tcW w:w="1609" w:type="dxa"/>
            <w:vMerge w:val="continue"/>
            <w:vAlign w:val="center"/>
          </w:tcPr>
          <w:p>
            <w:pPr>
              <w:tabs>
                <w:tab w:val="left" w:pos="180"/>
              </w:tabs>
              <w:spacing w:line="320" w:lineRule="exact"/>
              <w:jc w:val="center"/>
              <w:rPr>
                <w:rFonts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8"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tcBorders>
              <w:bottom w:val="single" w:color="auto" w:sz="4" w:space="0"/>
            </w:tcBorders>
            <w:vAlign w:val="center"/>
          </w:tcPr>
          <w:p>
            <w:pPr>
              <w:tabs>
                <w:tab w:val="left" w:pos="180"/>
              </w:tabs>
              <w:jc w:val="center"/>
              <w:rPr>
                <w:rFonts w:hint="eastAsia" w:hAnsi="宋体"/>
                <w:bCs/>
                <w:sz w:val="24"/>
                <w:lang w:val="en-US" w:eastAsia="zh-CN"/>
              </w:rPr>
            </w:pPr>
            <w:r>
              <w:rPr>
                <w:rFonts w:hint="eastAsia" w:hAnsi="宋体"/>
                <w:bCs/>
                <w:sz w:val="24"/>
                <w:lang w:val="en-US" w:eastAsia="zh-CN"/>
              </w:rPr>
              <w:t>封蜡废气</w:t>
            </w:r>
          </w:p>
        </w:tc>
        <w:tc>
          <w:tcPr>
            <w:tcW w:w="4691" w:type="dxa"/>
            <w:tcBorders>
              <w:bottom w:val="single" w:color="auto" w:sz="4" w:space="0"/>
            </w:tcBorders>
            <w:vAlign w:val="center"/>
          </w:tcPr>
          <w:p>
            <w:pPr>
              <w:tabs>
                <w:tab w:val="left" w:pos="180"/>
              </w:tabs>
              <w:spacing w:line="320" w:lineRule="exact"/>
              <w:jc w:val="center"/>
              <w:rPr>
                <w:rFonts w:hint="eastAsia" w:hAnsi="宋体"/>
                <w:b/>
                <w:bCs w:val="0"/>
                <w:sz w:val="24"/>
                <w:lang w:val="en-US" w:eastAsia="zh-CN"/>
              </w:rPr>
            </w:pPr>
            <w:r>
              <w:rPr>
                <w:rFonts w:hint="eastAsia" w:hAnsi="宋体"/>
                <w:bCs/>
                <w:sz w:val="24"/>
                <w:lang w:val="en-US" w:eastAsia="zh-CN"/>
              </w:rPr>
              <w:t>车间收尘除尘系统大流量通风机引出后经过滤网通过1根15m高的排气筒高空排放</w:t>
            </w:r>
          </w:p>
        </w:tc>
        <w:tc>
          <w:tcPr>
            <w:tcW w:w="1609" w:type="dxa"/>
            <w:vMerge w:val="continue"/>
            <w:vAlign w:val="center"/>
          </w:tcPr>
          <w:p>
            <w:pPr>
              <w:tabs>
                <w:tab w:val="left" w:pos="180"/>
              </w:tabs>
              <w:spacing w:line="320" w:lineRule="exact"/>
              <w:jc w:val="center"/>
              <w:rPr>
                <w:rFonts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8"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tcBorders>
              <w:bottom w:val="single" w:color="auto" w:sz="4" w:space="0"/>
            </w:tcBorders>
            <w:vAlign w:val="center"/>
          </w:tcPr>
          <w:p>
            <w:pPr>
              <w:tabs>
                <w:tab w:val="left" w:pos="180"/>
              </w:tabs>
              <w:jc w:val="center"/>
              <w:rPr>
                <w:rFonts w:hint="eastAsia" w:hAnsi="宋体"/>
                <w:bCs/>
                <w:sz w:val="24"/>
                <w:lang w:val="en-US" w:eastAsia="zh-CN"/>
              </w:rPr>
            </w:pPr>
            <w:r>
              <w:rPr>
                <w:rFonts w:hint="eastAsia" w:hAnsi="宋体"/>
                <w:bCs/>
                <w:sz w:val="24"/>
                <w:lang w:val="en-US" w:eastAsia="zh-CN"/>
              </w:rPr>
              <w:t>导热油炉废气</w:t>
            </w:r>
          </w:p>
        </w:tc>
        <w:tc>
          <w:tcPr>
            <w:tcW w:w="4691" w:type="dxa"/>
            <w:tcBorders>
              <w:bottom w:val="single" w:color="auto" w:sz="4" w:space="0"/>
            </w:tcBorders>
            <w:vAlign w:val="center"/>
          </w:tcPr>
          <w:p>
            <w:pPr>
              <w:tabs>
                <w:tab w:val="left" w:pos="180"/>
              </w:tabs>
              <w:spacing w:line="320" w:lineRule="exact"/>
              <w:jc w:val="center"/>
              <w:rPr>
                <w:rFonts w:hint="eastAsia" w:hAnsi="宋体"/>
                <w:sz w:val="24"/>
              </w:rPr>
            </w:pPr>
            <w:r>
              <w:rPr>
                <w:rFonts w:hint="eastAsia" w:hAnsi="宋体"/>
                <w:bCs/>
                <w:sz w:val="24"/>
                <w:lang w:val="en-US" w:eastAsia="zh-CN"/>
              </w:rPr>
              <w:t>经配套的旋风多管除尘器处理后通过1根20m高的排气筒高空排放</w:t>
            </w:r>
          </w:p>
        </w:tc>
        <w:tc>
          <w:tcPr>
            <w:tcW w:w="1609" w:type="dxa"/>
            <w:vMerge w:val="continue"/>
            <w:tcBorders>
              <w:bottom w:val="single" w:color="auto" w:sz="4" w:space="0"/>
            </w:tcBorders>
            <w:vAlign w:val="center"/>
          </w:tcPr>
          <w:p>
            <w:pPr>
              <w:tabs>
                <w:tab w:val="left" w:pos="180"/>
              </w:tabs>
              <w:spacing w:line="320" w:lineRule="exact"/>
              <w:jc w:val="center"/>
              <w:rPr>
                <w:rFonts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jc w:val="center"/>
        </w:trPr>
        <w:tc>
          <w:tcPr>
            <w:tcW w:w="976" w:type="dxa"/>
            <w:vMerge w:val="restart"/>
            <w:vAlign w:val="center"/>
          </w:tcPr>
          <w:p>
            <w:pPr>
              <w:tabs>
                <w:tab w:val="left" w:pos="180"/>
              </w:tabs>
              <w:spacing w:line="320" w:lineRule="exact"/>
              <w:jc w:val="center"/>
              <w:rPr>
                <w:bCs/>
                <w:sz w:val="24"/>
              </w:rPr>
            </w:pPr>
            <w:r>
              <w:rPr>
                <w:rFonts w:hAnsi="宋体"/>
                <w:bCs/>
                <w:sz w:val="24"/>
              </w:rPr>
              <w:t>废水</w:t>
            </w:r>
          </w:p>
        </w:tc>
        <w:tc>
          <w:tcPr>
            <w:tcW w:w="1862" w:type="dxa"/>
            <w:vAlign w:val="center"/>
          </w:tcPr>
          <w:p>
            <w:pPr>
              <w:tabs>
                <w:tab w:val="left" w:pos="180"/>
              </w:tabs>
              <w:spacing w:line="288" w:lineRule="auto"/>
              <w:jc w:val="center"/>
              <w:rPr>
                <w:bCs/>
                <w:sz w:val="24"/>
              </w:rPr>
            </w:pPr>
            <w:r>
              <w:rPr>
                <w:rFonts w:hAnsi="宋体"/>
                <w:bCs/>
                <w:sz w:val="24"/>
              </w:rPr>
              <w:t>生活污水</w:t>
            </w:r>
          </w:p>
        </w:tc>
        <w:tc>
          <w:tcPr>
            <w:tcW w:w="4691" w:type="dxa"/>
            <w:vAlign w:val="center"/>
          </w:tcPr>
          <w:p>
            <w:pPr>
              <w:tabs>
                <w:tab w:val="left" w:pos="180"/>
              </w:tabs>
              <w:spacing w:line="288" w:lineRule="auto"/>
              <w:jc w:val="center"/>
              <w:rPr>
                <w:rFonts w:hint="eastAsia"/>
                <w:bCs/>
                <w:sz w:val="24"/>
              </w:rPr>
            </w:pPr>
            <w:r>
              <w:rPr>
                <w:rFonts w:hint="eastAsia"/>
                <w:bCs/>
                <w:sz w:val="24"/>
              </w:rPr>
              <w:t>化粪池</w:t>
            </w:r>
            <w:r>
              <w:rPr>
                <w:rFonts w:hint="eastAsia"/>
                <w:bCs/>
                <w:sz w:val="24"/>
                <w:lang w:val="en-US" w:eastAsia="zh-CN"/>
              </w:rPr>
              <w:t>预处理接管丹阳市沃特污水处理厂集中处理</w:t>
            </w:r>
          </w:p>
        </w:tc>
        <w:tc>
          <w:tcPr>
            <w:tcW w:w="1609" w:type="dxa"/>
            <w:vMerge w:val="restart"/>
            <w:textDirection w:val="lrTb"/>
            <w:vAlign w:val="center"/>
          </w:tcPr>
          <w:p>
            <w:pPr>
              <w:tabs>
                <w:tab w:val="left" w:pos="180"/>
              </w:tabs>
              <w:spacing w:line="288" w:lineRule="auto"/>
              <w:jc w:val="center"/>
              <w:rPr>
                <w:rFonts w:hint="eastAsia" w:eastAsia="宋体"/>
                <w:bCs/>
                <w:sz w:val="24"/>
                <w:lang w:val="en-US" w:eastAsia="zh-CN"/>
              </w:rPr>
            </w:pPr>
            <w:r>
              <w:rPr>
                <w:rFonts w:hint="eastAsia"/>
                <w:bCs/>
                <w:sz w:val="24"/>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vAlign w:val="center"/>
          </w:tcPr>
          <w:p>
            <w:pPr>
              <w:tabs>
                <w:tab w:val="left" w:pos="180"/>
              </w:tabs>
              <w:spacing w:line="288" w:lineRule="auto"/>
              <w:jc w:val="center"/>
              <w:rPr>
                <w:rFonts w:hint="eastAsia" w:hAnsi="宋体" w:eastAsia="宋体"/>
                <w:bCs/>
                <w:sz w:val="24"/>
                <w:lang w:val="en-US" w:eastAsia="zh-CN"/>
              </w:rPr>
            </w:pPr>
            <w:r>
              <w:rPr>
                <w:rFonts w:hint="eastAsia" w:hAnsi="宋体"/>
                <w:bCs/>
                <w:sz w:val="24"/>
                <w:lang w:val="en-US" w:eastAsia="zh-CN"/>
              </w:rPr>
              <w:t>工业废水</w:t>
            </w:r>
          </w:p>
        </w:tc>
        <w:tc>
          <w:tcPr>
            <w:tcW w:w="4691" w:type="dxa"/>
            <w:vAlign w:val="center"/>
          </w:tcPr>
          <w:p>
            <w:pPr>
              <w:tabs>
                <w:tab w:val="left" w:pos="180"/>
              </w:tabs>
              <w:spacing w:line="288" w:lineRule="auto"/>
              <w:jc w:val="center"/>
              <w:rPr>
                <w:rFonts w:hint="eastAsia" w:eastAsia="宋体"/>
                <w:bCs/>
                <w:sz w:val="24"/>
                <w:lang w:val="en-US" w:eastAsia="zh-CN"/>
              </w:rPr>
            </w:pPr>
            <w:r>
              <w:rPr>
                <w:rFonts w:hint="eastAsia"/>
                <w:bCs/>
                <w:sz w:val="24"/>
                <w:lang w:val="en-US" w:eastAsia="zh-CN"/>
              </w:rPr>
              <w:t>厂区污水处理站预处理后接管丹阳市沃特污水处理厂集中处理</w:t>
            </w: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8" w:hRule="atLeast"/>
          <w:jc w:val="center"/>
        </w:trPr>
        <w:tc>
          <w:tcPr>
            <w:tcW w:w="976" w:type="dxa"/>
            <w:vAlign w:val="center"/>
          </w:tcPr>
          <w:p>
            <w:pPr>
              <w:tabs>
                <w:tab w:val="left" w:pos="180"/>
              </w:tabs>
              <w:spacing w:line="320" w:lineRule="exact"/>
              <w:jc w:val="center"/>
              <w:rPr>
                <w:bCs/>
                <w:sz w:val="24"/>
              </w:rPr>
            </w:pPr>
            <w:r>
              <w:rPr>
                <w:rFonts w:hAnsi="宋体"/>
                <w:bCs/>
                <w:sz w:val="24"/>
              </w:rPr>
              <w:t>噪声</w:t>
            </w:r>
          </w:p>
        </w:tc>
        <w:tc>
          <w:tcPr>
            <w:tcW w:w="1862" w:type="dxa"/>
            <w:vAlign w:val="center"/>
          </w:tcPr>
          <w:p>
            <w:pPr>
              <w:tabs>
                <w:tab w:val="left" w:pos="180"/>
              </w:tabs>
              <w:spacing w:line="288" w:lineRule="auto"/>
              <w:jc w:val="center"/>
              <w:rPr>
                <w:rFonts w:hint="eastAsia"/>
                <w:bCs/>
                <w:sz w:val="24"/>
              </w:rPr>
            </w:pPr>
            <w:r>
              <w:rPr>
                <w:rFonts w:hint="eastAsia" w:hAnsi="宋体"/>
                <w:sz w:val="24"/>
              </w:rPr>
              <w:t>生产设备噪声</w:t>
            </w:r>
          </w:p>
        </w:tc>
        <w:tc>
          <w:tcPr>
            <w:tcW w:w="4691" w:type="dxa"/>
            <w:vAlign w:val="center"/>
          </w:tcPr>
          <w:p>
            <w:pPr>
              <w:tabs>
                <w:tab w:val="left" w:pos="180"/>
              </w:tabs>
              <w:spacing w:line="288" w:lineRule="auto"/>
              <w:jc w:val="center"/>
              <w:rPr>
                <w:rFonts w:hint="eastAsia"/>
                <w:bCs/>
                <w:sz w:val="24"/>
              </w:rPr>
            </w:pPr>
            <w:r>
              <w:rPr>
                <w:rFonts w:hint="eastAsia" w:hAnsi="宋体"/>
                <w:bCs/>
                <w:sz w:val="24"/>
              </w:rPr>
              <w:t>厂房隔声、距离衰减等</w:t>
            </w:r>
          </w:p>
        </w:tc>
        <w:tc>
          <w:tcPr>
            <w:tcW w:w="1609" w:type="dxa"/>
            <w:vAlign w:val="center"/>
          </w:tcPr>
          <w:p>
            <w:pPr>
              <w:tabs>
                <w:tab w:val="left" w:pos="180"/>
              </w:tabs>
              <w:spacing w:line="288" w:lineRule="auto"/>
              <w:jc w:val="center"/>
              <w:rPr>
                <w:rFonts w:hint="eastAsia"/>
                <w:bCs/>
                <w:sz w:val="24"/>
              </w:rPr>
            </w:pPr>
            <w:r>
              <w:rPr>
                <w:rFonts w:hint="eastAsia" w:hAnsi="宋体"/>
                <w:bCs/>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jc w:val="center"/>
        </w:trPr>
        <w:tc>
          <w:tcPr>
            <w:tcW w:w="976" w:type="dxa"/>
            <w:vMerge w:val="restart"/>
            <w:vAlign w:val="center"/>
          </w:tcPr>
          <w:p>
            <w:pPr>
              <w:tabs>
                <w:tab w:val="left" w:pos="180"/>
              </w:tabs>
              <w:spacing w:line="320" w:lineRule="exact"/>
              <w:jc w:val="center"/>
              <w:rPr>
                <w:bCs/>
                <w:sz w:val="24"/>
              </w:rPr>
            </w:pPr>
            <w:r>
              <w:rPr>
                <w:rFonts w:hAnsi="宋体"/>
                <w:bCs/>
                <w:sz w:val="24"/>
              </w:rPr>
              <w:t>固废</w:t>
            </w:r>
          </w:p>
        </w:tc>
        <w:tc>
          <w:tcPr>
            <w:tcW w:w="1862" w:type="dxa"/>
            <w:vAlign w:val="center"/>
          </w:tcPr>
          <w:p>
            <w:pPr>
              <w:tabs>
                <w:tab w:val="left" w:pos="180"/>
              </w:tabs>
              <w:spacing w:line="288" w:lineRule="auto"/>
              <w:jc w:val="center"/>
              <w:rPr>
                <w:rFonts w:hint="eastAsia" w:hAnsi="宋体" w:eastAsia="宋体"/>
                <w:bCs/>
                <w:sz w:val="24"/>
                <w:lang w:eastAsia="zh-CN"/>
              </w:rPr>
            </w:pPr>
            <w:r>
              <w:rPr>
                <w:rFonts w:hint="eastAsia" w:hAnsi="宋体"/>
                <w:bCs/>
                <w:sz w:val="24"/>
                <w:lang w:val="en-US" w:eastAsia="zh-CN"/>
              </w:rPr>
              <w:t>废弃木材</w:t>
            </w:r>
          </w:p>
        </w:tc>
        <w:tc>
          <w:tcPr>
            <w:tcW w:w="4691" w:type="dxa"/>
            <w:vMerge w:val="restart"/>
            <w:vAlign w:val="center"/>
          </w:tcPr>
          <w:p>
            <w:pPr>
              <w:tabs>
                <w:tab w:val="left" w:pos="180"/>
              </w:tabs>
              <w:spacing w:line="288" w:lineRule="auto"/>
              <w:ind w:firstLine="120" w:firstLineChars="50"/>
              <w:jc w:val="center"/>
              <w:rPr>
                <w:rFonts w:hint="eastAsia" w:hAnsi="宋体"/>
                <w:bCs/>
                <w:sz w:val="24"/>
              </w:rPr>
            </w:pPr>
            <w:r>
              <w:rPr>
                <w:rFonts w:hint="eastAsia" w:hAnsi="宋体"/>
                <w:bCs/>
                <w:sz w:val="24"/>
              </w:rPr>
              <w:t>综合利用</w:t>
            </w:r>
          </w:p>
        </w:tc>
        <w:tc>
          <w:tcPr>
            <w:tcW w:w="1609" w:type="dxa"/>
            <w:vMerge w:val="restart"/>
            <w:vAlign w:val="center"/>
          </w:tcPr>
          <w:p>
            <w:pPr>
              <w:spacing w:line="288" w:lineRule="auto"/>
              <w:jc w:val="center"/>
              <w:rPr>
                <w:rFonts w:hint="eastAsia" w:hAnsi="宋体"/>
                <w:bCs/>
                <w:sz w:val="24"/>
              </w:rPr>
            </w:pPr>
            <w:r>
              <w:rPr>
                <w:rFonts w:hint="eastAsia" w:hAnsi="宋体"/>
                <w:bCs/>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vAlign w:val="center"/>
          </w:tcPr>
          <w:p>
            <w:pPr>
              <w:tabs>
                <w:tab w:val="left" w:pos="180"/>
              </w:tabs>
              <w:spacing w:line="288" w:lineRule="auto"/>
              <w:jc w:val="center"/>
              <w:rPr>
                <w:rFonts w:hint="eastAsia" w:hAnsi="宋体" w:eastAsia="宋体"/>
                <w:bCs/>
                <w:sz w:val="24"/>
                <w:lang w:eastAsia="zh-CN"/>
              </w:rPr>
            </w:pPr>
            <w:r>
              <w:rPr>
                <w:rFonts w:hint="eastAsia" w:hAnsi="宋体"/>
                <w:bCs/>
                <w:sz w:val="24"/>
                <w:lang w:val="en-US" w:eastAsia="zh-CN"/>
              </w:rPr>
              <w:t>木屑</w:t>
            </w:r>
          </w:p>
        </w:tc>
        <w:tc>
          <w:tcPr>
            <w:tcW w:w="4691" w:type="dxa"/>
            <w:vMerge w:val="continue"/>
            <w:vAlign w:val="center"/>
          </w:tcPr>
          <w:p>
            <w:pPr>
              <w:tabs>
                <w:tab w:val="left" w:pos="180"/>
              </w:tabs>
              <w:spacing w:line="288" w:lineRule="auto"/>
              <w:ind w:firstLine="120" w:firstLineChars="50"/>
              <w:jc w:val="center"/>
              <w:rPr>
                <w:rFonts w:hint="eastAsia" w:hAnsi="宋体"/>
                <w:bCs/>
                <w:sz w:val="24"/>
              </w:rPr>
            </w:pP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3"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vAlign w:val="center"/>
          </w:tcPr>
          <w:p>
            <w:pPr>
              <w:tabs>
                <w:tab w:val="left" w:pos="180"/>
              </w:tabs>
              <w:spacing w:line="288" w:lineRule="auto"/>
              <w:jc w:val="center"/>
              <w:rPr>
                <w:rFonts w:hint="eastAsia" w:hAnsi="宋体" w:eastAsia="宋体"/>
                <w:bCs/>
                <w:sz w:val="24"/>
                <w:lang w:val="en-US" w:eastAsia="zh-CN"/>
              </w:rPr>
            </w:pPr>
            <w:r>
              <w:rPr>
                <w:rFonts w:hint="eastAsia" w:hAnsi="宋体"/>
                <w:bCs/>
                <w:sz w:val="24"/>
                <w:lang w:val="en-US" w:eastAsia="zh-CN"/>
              </w:rPr>
              <w:t>木炭灰渣</w:t>
            </w:r>
          </w:p>
        </w:tc>
        <w:tc>
          <w:tcPr>
            <w:tcW w:w="4691" w:type="dxa"/>
            <w:vMerge w:val="continue"/>
            <w:vAlign w:val="center"/>
          </w:tcPr>
          <w:p>
            <w:pPr>
              <w:tabs>
                <w:tab w:val="left" w:pos="180"/>
              </w:tabs>
              <w:spacing w:line="288" w:lineRule="auto"/>
              <w:ind w:firstLine="120" w:firstLineChars="50"/>
              <w:jc w:val="center"/>
              <w:rPr>
                <w:rFonts w:hint="eastAsia" w:hAnsi="宋体"/>
                <w:bCs/>
                <w:sz w:val="24"/>
              </w:rPr>
            </w:pP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vAlign w:val="center"/>
          </w:tcPr>
          <w:p>
            <w:pPr>
              <w:tabs>
                <w:tab w:val="left" w:pos="180"/>
              </w:tabs>
              <w:spacing w:line="288" w:lineRule="auto"/>
              <w:jc w:val="center"/>
              <w:rPr>
                <w:rFonts w:hint="eastAsia" w:hAnsi="宋体"/>
                <w:bCs/>
                <w:sz w:val="24"/>
              </w:rPr>
            </w:pPr>
            <w:r>
              <w:rPr>
                <w:rFonts w:hint="eastAsia" w:hAnsi="宋体"/>
                <w:bCs/>
                <w:sz w:val="24"/>
              </w:rPr>
              <w:t>废</w:t>
            </w:r>
            <w:r>
              <w:rPr>
                <w:rFonts w:hint="eastAsia" w:hAnsi="宋体"/>
                <w:bCs/>
                <w:sz w:val="24"/>
                <w:lang w:val="en-US" w:eastAsia="zh-CN"/>
              </w:rPr>
              <w:t>胶水桶</w:t>
            </w:r>
          </w:p>
        </w:tc>
        <w:tc>
          <w:tcPr>
            <w:tcW w:w="4691" w:type="dxa"/>
            <w:vMerge w:val="restart"/>
            <w:vAlign w:val="center"/>
          </w:tcPr>
          <w:p>
            <w:pPr>
              <w:tabs>
                <w:tab w:val="left" w:pos="180"/>
              </w:tabs>
              <w:spacing w:line="288" w:lineRule="auto"/>
              <w:ind w:firstLine="120" w:firstLineChars="50"/>
              <w:jc w:val="center"/>
              <w:rPr>
                <w:rFonts w:hint="eastAsia" w:hAnsi="宋体"/>
                <w:bCs/>
                <w:sz w:val="24"/>
              </w:rPr>
            </w:pPr>
            <w:r>
              <w:rPr>
                <w:rFonts w:hint="eastAsia" w:hAnsi="宋体"/>
                <w:bCs/>
                <w:sz w:val="24"/>
              </w:rPr>
              <w:t>委托资质单位处置</w:t>
            </w: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vAlign w:val="center"/>
          </w:tcPr>
          <w:p>
            <w:pPr>
              <w:tabs>
                <w:tab w:val="left" w:pos="180"/>
              </w:tabs>
              <w:spacing w:line="288" w:lineRule="auto"/>
              <w:jc w:val="center"/>
              <w:rPr>
                <w:rFonts w:hint="eastAsia" w:hAnsi="宋体" w:eastAsia="宋体"/>
                <w:bCs/>
                <w:sz w:val="24"/>
                <w:lang w:val="en-US" w:eastAsia="zh-CN"/>
              </w:rPr>
            </w:pPr>
            <w:r>
              <w:rPr>
                <w:rFonts w:hint="eastAsia" w:hAnsi="宋体"/>
                <w:bCs/>
                <w:sz w:val="24"/>
                <w:lang w:val="en-US" w:eastAsia="zh-CN"/>
              </w:rPr>
              <w:t>废液压油</w:t>
            </w:r>
          </w:p>
        </w:tc>
        <w:tc>
          <w:tcPr>
            <w:tcW w:w="4691" w:type="dxa"/>
            <w:vMerge w:val="continue"/>
            <w:vAlign w:val="center"/>
          </w:tcPr>
          <w:p>
            <w:pPr>
              <w:tabs>
                <w:tab w:val="left" w:pos="180"/>
              </w:tabs>
              <w:spacing w:line="288" w:lineRule="auto"/>
              <w:jc w:val="center"/>
              <w:rPr>
                <w:rFonts w:hint="eastAsia" w:hAnsi="宋体"/>
                <w:bCs/>
                <w:sz w:val="24"/>
              </w:rPr>
            </w:pP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vAlign w:val="center"/>
          </w:tcPr>
          <w:p>
            <w:pPr>
              <w:tabs>
                <w:tab w:val="left" w:pos="180"/>
              </w:tabs>
              <w:spacing w:line="288" w:lineRule="auto"/>
              <w:jc w:val="center"/>
              <w:rPr>
                <w:rFonts w:hint="eastAsia" w:hAnsi="宋体" w:eastAsia="宋体"/>
                <w:bCs/>
                <w:sz w:val="24"/>
                <w:lang w:val="en-US" w:eastAsia="zh-CN"/>
              </w:rPr>
            </w:pPr>
            <w:r>
              <w:rPr>
                <w:rFonts w:hint="eastAsia" w:hAnsi="宋体"/>
                <w:bCs/>
                <w:sz w:val="24"/>
                <w:lang w:val="en-US" w:eastAsia="zh-CN"/>
              </w:rPr>
              <w:t>废油漆桶</w:t>
            </w:r>
          </w:p>
        </w:tc>
        <w:tc>
          <w:tcPr>
            <w:tcW w:w="4691" w:type="dxa"/>
            <w:vMerge w:val="continue"/>
            <w:vAlign w:val="center"/>
          </w:tcPr>
          <w:p>
            <w:pPr>
              <w:tabs>
                <w:tab w:val="left" w:pos="180"/>
              </w:tabs>
              <w:spacing w:line="288" w:lineRule="auto"/>
              <w:jc w:val="center"/>
              <w:rPr>
                <w:rFonts w:hint="eastAsia" w:hAnsi="宋体"/>
                <w:bCs/>
                <w:sz w:val="24"/>
              </w:rPr>
            </w:pP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textDirection w:val="lrTb"/>
            <w:vAlign w:val="center"/>
          </w:tcPr>
          <w:p>
            <w:pPr>
              <w:tabs>
                <w:tab w:val="left" w:pos="180"/>
              </w:tabs>
              <w:spacing w:line="288" w:lineRule="auto"/>
              <w:jc w:val="center"/>
              <w:rPr>
                <w:rFonts w:hint="eastAsia" w:hAnsi="宋体"/>
                <w:bCs/>
                <w:sz w:val="24"/>
                <w:lang w:val="en-US" w:eastAsia="zh-CN"/>
              </w:rPr>
            </w:pPr>
            <w:r>
              <w:rPr>
                <w:rFonts w:hint="eastAsia" w:hAnsi="宋体"/>
                <w:bCs/>
                <w:sz w:val="24"/>
                <w:lang w:val="en-US" w:eastAsia="zh-CN"/>
              </w:rPr>
              <w:t>废活性炭</w:t>
            </w:r>
          </w:p>
        </w:tc>
        <w:tc>
          <w:tcPr>
            <w:tcW w:w="4691" w:type="dxa"/>
            <w:vMerge w:val="continue"/>
            <w:vAlign w:val="center"/>
          </w:tcPr>
          <w:p>
            <w:pPr>
              <w:tabs>
                <w:tab w:val="left" w:pos="180"/>
              </w:tabs>
              <w:spacing w:line="288" w:lineRule="auto"/>
              <w:jc w:val="center"/>
              <w:rPr>
                <w:rFonts w:hint="eastAsia" w:hAnsi="宋体"/>
                <w:bCs/>
                <w:sz w:val="24"/>
              </w:rPr>
            </w:pP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textDirection w:val="lrTb"/>
            <w:vAlign w:val="center"/>
          </w:tcPr>
          <w:p>
            <w:pPr>
              <w:tabs>
                <w:tab w:val="left" w:pos="180"/>
              </w:tabs>
              <w:spacing w:line="288" w:lineRule="auto"/>
              <w:jc w:val="center"/>
              <w:rPr>
                <w:rFonts w:hint="eastAsia" w:hAnsi="宋体"/>
                <w:bCs/>
                <w:sz w:val="24"/>
                <w:lang w:val="en-US" w:eastAsia="zh-CN"/>
              </w:rPr>
            </w:pPr>
            <w:r>
              <w:rPr>
                <w:rFonts w:hint="eastAsia" w:hAnsi="宋体"/>
                <w:bCs/>
                <w:sz w:val="24"/>
                <w:lang w:val="en-US" w:eastAsia="zh-CN"/>
              </w:rPr>
              <w:t>生物污泥</w:t>
            </w:r>
          </w:p>
        </w:tc>
        <w:tc>
          <w:tcPr>
            <w:tcW w:w="4691" w:type="dxa"/>
            <w:vMerge w:val="restart"/>
            <w:vAlign w:val="center"/>
          </w:tcPr>
          <w:p>
            <w:pPr>
              <w:tabs>
                <w:tab w:val="left" w:pos="180"/>
              </w:tabs>
              <w:spacing w:line="288" w:lineRule="auto"/>
              <w:ind w:firstLine="120" w:firstLineChars="50"/>
              <w:jc w:val="center"/>
              <w:rPr>
                <w:rFonts w:hAnsi="宋体"/>
                <w:bCs/>
                <w:sz w:val="24"/>
              </w:rPr>
            </w:pPr>
            <w:r>
              <w:rPr>
                <w:rFonts w:hAnsi="宋体"/>
                <w:bCs/>
                <w:sz w:val="24"/>
              </w:rPr>
              <w:t>由环卫</w:t>
            </w:r>
            <w:r>
              <w:rPr>
                <w:rFonts w:hint="eastAsia" w:hAnsi="宋体"/>
                <w:bCs/>
                <w:sz w:val="24"/>
              </w:rPr>
              <w:t>部门</w:t>
            </w:r>
            <w:r>
              <w:rPr>
                <w:rFonts w:hAnsi="宋体"/>
                <w:bCs/>
                <w:sz w:val="24"/>
              </w:rPr>
              <w:t>定期清运</w:t>
            </w:r>
          </w:p>
        </w:tc>
        <w:tc>
          <w:tcPr>
            <w:tcW w:w="1609" w:type="dxa"/>
            <w:vMerge w:val="continue"/>
            <w:vAlign w:val="center"/>
          </w:tcPr>
          <w:p>
            <w:pPr>
              <w:tabs>
                <w:tab w:val="left" w:pos="180"/>
              </w:tabs>
              <w:spacing w:line="288" w:lineRule="auto"/>
              <w:jc w:val="center"/>
              <w:rPr>
                <w:rFonts w:hint="eastAsia" w:hAnsi="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3" w:hRule="atLeast"/>
          <w:jc w:val="center"/>
        </w:trPr>
        <w:tc>
          <w:tcPr>
            <w:tcW w:w="976" w:type="dxa"/>
            <w:vMerge w:val="continue"/>
            <w:vAlign w:val="center"/>
          </w:tcPr>
          <w:p>
            <w:pPr>
              <w:tabs>
                <w:tab w:val="left" w:pos="180"/>
              </w:tabs>
              <w:spacing w:line="320" w:lineRule="exact"/>
              <w:jc w:val="center"/>
              <w:rPr>
                <w:rFonts w:hAnsi="宋体"/>
                <w:bCs/>
                <w:sz w:val="24"/>
              </w:rPr>
            </w:pPr>
          </w:p>
        </w:tc>
        <w:tc>
          <w:tcPr>
            <w:tcW w:w="1862" w:type="dxa"/>
            <w:tcBorders>
              <w:top w:val="single" w:color="auto" w:sz="4" w:space="0"/>
            </w:tcBorders>
            <w:textDirection w:val="lrTb"/>
            <w:vAlign w:val="center"/>
          </w:tcPr>
          <w:p>
            <w:pPr>
              <w:tabs>
                <w:tab w:val="left" w:pos="180"/>
              </w:tabs>
              <w:spacing w:line="288" w:lineRule="auto"/>
              <w:jc w:val="center"/>
              <w:rPr>
                <w:rFonts w:hint="eastAsia" w:hAnsi="宋体"/>
                <w:bCs/>
                <w:sz w:val="24"/>
                <w:lang w:val="en-US" w:eastAsia="zh-CN"/>
              </w:rPr>
            </w:pPr>
            <w:r>
              <w:rPr>
                <w:rFonts w:hint="eastAsia" w:hAnsi="宋体"/>
                <w:bCs/>
                <w:sz w:val="24"/>
                <w:lang w:val="en-US" w:eastAsia="zh-CN"/>
              </w:rPr>
              <w:t>生活垃圾</w:t>
            </w:r>
          </w:p>
        </w:tc>
        <w:tc>
          <w:tcPr>
            <w:tcW w:w="4691" w:type="dxa"/>
            <w:vMerge w:val="continue"/>
            <w:vAlign w:val="center"/>
          </w:tcPr>
          <w:p>
            <w:pPr>
              <w:tabs>
                <w:tab w:val="left" w:pos="180"/>
              </w:tabs>
              <w:spacing w:line="288" w:lineRule="auto"/>
              <w:ind w:firstLine="120" w:firstLineChars="50"/>
              <w:jc w:val="center"/>
              <w:rPr>
                <w:rFonts w:hAnsi="宋体"/>
                <w:bCs/>
                <w:sz w:val="24"/>
              </w:rPr>
            </w:pPr>
          </w:p>
        </w:tc>
        <w:tc>
          <w:tcPr>
            <w:tcW w:w="1609" w:type="dxa"/>
            <w:vMerge w:val="continue"/>
            <w:vAlign w:val="center"/>
          </w:tcPr>
          <w:p>
            <w:pPr>
              <w:spacing w:line="288" w:lineRule="auto"/>
              <w:jc w:val="center"/>
              <w:rPr>
                <w:rFonts w:hint="eastAsia" w:hAnsi="宋体"/>
                <w:bCs/>
                <w:sz w:val="24"/>
              </w:rPr>
            </w:pPr>
          </w:p>
        </w:tc>
      </w:tr>
    </w:tbl>
    <w:p>
      <w:pPr>
        <w:pStyle w:val="30"/>
        <w:spacing w:before="120" w:after="120"/>
        <w:rPr>
          <w:rFonts w:hint="eastAsia" w:asciiTheme="minorEastAsia" w:hAnsiTheme="minorEastAsia" w:eastAsiaTheme="minorEastAsia" w:cstheme="minorEastAsia"/>
        </w:rPr>
      </w:pPr>
      <w:bookmarkStart w:id="101" w:name="_Toc17864"/>
      <w:r>
        <w:rPr>
          <w:rFonts w:hint="eastAsia" w:asciiTheme="minorEastAsia" w:hAnsiTheme="minorEastAsia" w:eastAsiaTheme="minorEastAsia" w:cstheme="minorEastAsia"/>
        </w:rPr>
        <w:t>11.2 废水治理措施、达标情况及运行费用经济分析</w:t>
      </w:r>
      <w:bookmarkEnd w:id="101"/>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本项目实行雨污分流体制。厂区清下水和雨水收集后进入铺设的雨水管道，最终排入市政雨水管网。生活污水通过化粪池预处理，工业废水通过厂区污水处理站预处理后，接管丹阳市沃特污水处理厂集中处理，尾水最终排入京杭运河。厂区污水处理站处理工艺采用水解酸化+生物接触氧化法，其处理工艺流程如图11.2-1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本项目化粪池及厂区污水处理站预处理设施已建成，总投资30万元，</w:t>
      </w:r>
      <w:r>
        <w:rPr>
          <w:rFonts w:hint="eastAsia" w:asciiTheme="minorEastAsia" w:hAnsiTheme="minorEastAsia" w:eastAsiaTheme="minorEastAsia" w:cstheme="minorEastAsia"/>
          <w:sz w:val="28"/>
          <w:szCs w:val="28"/>
          <w:lang w:val="en-US" w:eastAsia="zh-CN"/>
        </w:rPr>
        <w:t>年</w:t>
      </w:r>
      <w:r>
        <w:rPr>
          <w:rFonts w:hint="eastAsia" w:asciiTheme="minorEastAsia" w:hAnsiTheme="minorEastAsia" w:eastAsiaTheme="minorEastAsia" w:cstheme="minorEastAsia"/>
          <w:sz w:val="28"/>
          <w:szCs w:val="28"/>
        </w:rPr>
        <w:t>运行费用</w:t>
      </w:r>
      <w:r>
        <w:rPr>
          <w:rFonts w:hint="eastAsia" w:asciiTheme="minorEastAsia" w:hAnsiTheme="minorEastAsia" w:eastAsiaTheme="minorEastAsia" w:cstheme="minorEastAsia"/>
          <w:sz w:val="28"/>
          <w:szCs w:val="28"/>
          <w:lang w:val="en-US" w:eastAsia="zh-CN"/>
        </w:rPr>
        <w:t>1万元</w:t>
      </w:r>
      <w:r>
        <w:rPr>
          <w:rFonts w:hint="eastAsia" w:asciiTheme="minorEastAsia" w:hAnsiTheme="minorEastAsia" w:eastAsiaTheme="minorEastAsia" w:cstheme="minorEastAsia"/>
          <w:sz w:val="28"/>
          <w:szCs w:val="28"/>
        </w:rPr>
        <w:t>，在企业可接受范围内。</w:t>
      </w:r>
    </w:p>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pict>
          <v:group id="组合 44" o:spid="_x0000_s2268" o:spt="203" style="position:absolute;left:0pt;margin-left:0pt;margin-top:0pt;height:220.5pt;width:436.55pt;z-index:1024;mso-width-relative:page;mso-height-relative:page;" coordsize="55441,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">
            <o:lock v:ext="edit" aspectratio="f"/>
            <v:group id="组合 2" o:spid="_x0000_s2269" o:spt="203" style="position:absolute;left:0;top:0;height:21723;width:55441;" coordsize="55441,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f"/>
              <v:shape id="文本框 16" o:spid="_x0000_s2270" o:spt="202" type="#_x0000_t202" style="position:absolute;left:33617;top:0;height:2818;width:938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加药装置</w:t>
                      </w:r>
                    </w:p>
                  </w:txbxContent>
                </v:textbox>
              </v:shape>
              <v:shape id="文本框 16" o:spid="_x0000_s2271" o:spt="202" type="#_x0000_t202" style="position:absolute;left:45755;top:0;height:2818;width:93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加药装置</w:t>
                      </w:r>
                    </w:p>
                  </w:txbxContent>
                </v:textbox>
              </v:shape>
              <v:shape id="直接箭头连接符 6" o:spid="_x0000_s2272" o:spt="32" type="#_x0000_t32" style="position:absolute;left:38307;top:2818;flip:x;height:276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path arrowok="t"/>
                <v:fill on="f" focussize="0,0"/>
                <v:stroke color="#000000" endarrow="block"/>
                <v:imagedata o:title=""/>
                <o:lock v:ext="edit" aspectratio="f"/>
              </v:shape>
              <v:shape id="直接箭头连接符 7" o:spid="_x0000_s2273" o:spt="32" type="#_x0000_t32" style="position:absolute;left:50373;top:2818;flip:x;height:276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path arrowok="t"/>
                <v:fill on="f" focussize="0,0"/>
                <v:stroke color="#000000" endarrow="block"/>
                <v:imagedata o:title=""/>
                <o:lock v:ext="edit" aspectratio="f"/>
              </v:shape>
              <v:shape id="文本框 7" o:spid="_x0000_s2274" o:spt="202" type="#_x0000_t202" style="position:absolute;left:33198;top:5636;height:2755;width:1021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中和沉淀池</w:t>
                      </w:r>
                    </w:p>
                  </w:txbxContent>
                </v:textbox>
              </v:shape>
              <v:shape id="直接箭头连接符 9" o:spid="_x0000_s2275" o:spt="32" type="#_x0000_t32" style="position:absolute;left:43417;top:6900;flip:y;height:22;width:20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path arrowok="t"/>
                <v:fill on="f" focussize="0,0"/>
                <v:stroke color="#000000" endarrow="block"/>
                <v:imagedata o:title=""/>
                <o:lock v:ext="edit" aspectratio="f"/>
              </v:shape>
              <v:shape id="文本框 16" o:spid="_x0000_s2276" o:spt="202" type="#_x0000_t202" style="position:absolute;left:45405;top:5501;height:2819;width:93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气浮装置</w:t>
                      </w:r>
                    </w:p>
                  </w:txbxContent>
                </v:textbox>
              </v:shape>
              <v:shape id="直接箭头连接符 11" o:spid="_x0000_s2277" o:spt="32" type="#_x0000_t32" style="position:absolute;left:31210;top:6967;flip:y;height:22;width:20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path arrowok="t"/>
                <v:fill on="f" focussize="0,0"/>
                <v:stroke color="#000000" endarrow="block"/>
                <v:imagedata o:title=""/>
                <o:lock v:ext="edit" aspectratio="f"/>
              </v:shape>
              <v:shape id="文本框 11" o:spid="_x0000_s2278" o:spt="202" type="#_x0000_t202" style="position:absolute;left:21132;top:5636;height:2755;width:1022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曝气调节池</w:t>
                      </w:r>
                    </w:p>
                  </w:txbxContent>
                </v:textbox>
              </v:shape>
              <v:shape id="直接箭头连接符 13" o:spid="_x0000_s2279" o:spt="32" type="#_x0000_t32" style="position:absolute;left:18970;top:6956;flip:y;height:22;width:20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path arrowok="t"/>
                <v:fill on="f" focussize="0,0"/>
                <v:stroke color="#000000" endarrow="block"/>
                <v:imagedata o:title=""/>
                <o:lock v:ext="edit" aspectratio="f"/>
              </v:shape>
              <v:shape id="文本框 16" o:spid="_x0000_s2280" o:spt="202" type="#_x0000_t202" style="position:absolute;left:11597;top:5542;height:2849;width:732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格栅井</w:t>
                      </w:r>
                    </w:p>
                  </w:txbxContent>
                </v:textbox>
              </v:shape>
              <v:shape id="文本框 16" o:spid="_x0000_s2281" o:spt="202" type="#_x0000_t202" style="position:absolute;left:0;top:5695;height:2818;width:93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混合废水</w:t>
                      </w:r>
                    </w:p>
                  </w:txbxContent>
                </v:textbox>
              </v:shape>
              <v:shape id="直接箭头连接符 16" o:spid="_x0000_s2282" o:spt="32" type="#_x0000_t32" style="position:absolute;left:9425;top:6945;flip:y;height:22;width:20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path arrowok="t"/>
                <v:fill on="f" focussize="0,0"/>
                <v:stroke color="#000000" endarrow="block"/>
                <v:imagedata o:title=""/>
                <o:lock v:ext="edit" aspectratio="f"/>
              </v:shape>
              <v:shape id="直接箭头连接符 17" o:spid="_x0000_s2283" o:spt="32" type="#_x0000_t32" style="position:absolute;left:50332;top:8513;flip:x;height:496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path arrowok="t"/>
                <v:fill on="f" focussize="0,0"/>
                <v:stroke color="#000000" endarrow="block"/>
                <v:imagedata o:title=""/>
                <o:lock v:ext="edit" aspectratio="f"/>
              </v:shape>
              <v:shape id="文本框 17" o:spid="_x0000_s2284" o:spt="202" type="#_x0000_t202" style="position:absolute;left:45222;top:13503;height:2754;width:1021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水解酸化池</w:t>
                      </w:r>
                    </w:p>
                  </w:txbxContent>
                </v:textbox>
              </v:shape>
              <v:shape id="直接箭头连接符 19" o:spid="_x0000_s2285" o:spt="32" type="#_x0000_t32" style="position:absolute;left:42796;top:14809;flip:y;height:71;width:22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qlMIAAADbAAAADwAAAGRycy9kb3ducmV2LnhtbERPS2sCMRC+F/wPYQRvNWsRq6tRpChd&#10;Ch7qC7wNmzG7upksm1TXf98Ihd7m43vObNHaStyo8aVjBYN+AoI4d7pko2C/W7+OQfiArLFyTAoe&#10;5GEx77zMMNXuzt902wYjYgj7FBUUIdSplD4vyKLvu5o4cmfXWAwRNkbqBu8x3FbyLUlG0mLJsaHA&#10;mj4Kyq/bH6sAj7w8funP0yE7v/uVMcONvGRK9brtcgoiUBv+xX/uTMf5E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XqlMIAAADbAAAADwAAAAAAAAAAAAAA&#10;AAChAgAAZHJzL2Rvd25yZXYueG1sUEsFBgAAAAAEAAQA+QAAAJADAAAAAA==&#10;">
                <v:path arrowok="t"/>
                <v:fill on="f" focussize="0,0"/>
                <v:stroke color="#000000" startarrow="block"/>
                <v:imagedata o:title=""/>
                <o:lock v:ext="edit" aspectratio="f"/>
              </v:shape>
              <v:shape id="文本框 19" o:spid="_x0000_s2286" o:spt="202" type="#_x0000_t202" style="position:absolute;left:32778;top:13503;height:2754;width:1022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接触氧化池</w:t>
                      </w:r>
                    </w:p>
                  </w:txbxContent>
                </v:textbox>
              </v:shape>
              <v:shape id="文本框 5" o:spid="_x0000_s2287" o:spt="202" type="#_x0000_t202" style="position:absolute;left:35268;top:9332;height:2769;width:523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风机</w:t>
                      </w:r>
                      <w:r>
                        <w:rPr>
                          <w:rFonts w:ascii="Calibri" w:hAnsi="Calibri" w:eastAsia="仿宋" w:cs="Times New Roman"/>
                          <w:color w:val="000000"/>
                          <w:kern w:val="2"/>
                        </w:rPr>
                        <w:t xml:space="preserve"> </w:t>
                      </w:r>
                    </w:p>
                  </w:txbxContent>
                </v:textbox>
              </v:shape>
              <v:shape id="直接箭头连接符 22" o:spid="_x0000_s2288" o:spt="32" type="#_x0000_t32" style="position:absolute;left:37888;top:12101;height:138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path arrowok="t"/>
                <v:fill on="f" focussize="0,0"/>
                <v:stroke color="#000000" endarrow="block"/>
                <v:imagedata o:title=""/>
                <o:lock v:ext="edit" aspectratio="f"/>
              </v:shape>
              <v:shape id="直接箭头连接符 23" o:spid="_x0000_s2289" o:spt="32" type="#_x0000_t32" style="position:absolute;left:28942;top:14880;height:0;width:38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XUMMAAADbAAAADwAAAGRycy9kb3ducmV2LnhtbESPzWrCQBSF94W+w3CFbkQnTaGV6ChF&#10;Esiii6pduLxkrkkwcydkJia+vRMouDycn4+z2Y2mETfqXG1ZwfsyAkFcWF1zqeDvlC1WIJxH1thY&#10;JgV3crDbvr5sMNF24APdjr4UYYRdggoq79tESldUZNAtbUscvIvtDPogu1LqDocwbhoZR9GnNFhz&#10;IFTY0r6i4nrszcSd96TP6e889Vke9/vi6yddKfU2G7/XIDyN/hn+b+daQfwB05fwA+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V1DDAAAA2wAAAA8AAAAAAAAAAAAA&#10;AAAAoQIAAGRycy9kb3ducmV2LnhtbFBLBQYAAAAABAAEAPkAAACRAwAAAAA=&#10;">
                <v:path arrowok="t"/>
                <v:fill on="f" focussize="0,0"/>
                <v:stroke color="#000000" startarrow="block"/>
                <v:imagedata o:title=""/>
                <o:lock v:ext="edit" aspectratio="f"/>
              </v:shape>
              <v:shape id="文本框 16" o:spid="_x0000_s2290" o:spt="202" type="#_x0000_t202" style="position:absolute;left:21514;top:13548;height:2686;width:732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path/>
                <v:fill on="t" color2="#FFFFFF" focussize="0,0"/>
                <v:stroke color="#000000" joinstyle="miter"/>
                <v:imagedata o:title=""/>
                <o:lock v:ext="edit" aspectratio="f"/>
                <v:textbox>
                  <w:txbxContent>
                    <w:p>
                      <w:pPr>
                        <w:pStyle w:val="15"/>
                        <w:spacing w:before="0" w:beforeAutospacing="0" w:after="0" w:afterAutospacing="0"/>
                        <w:jc w:val="center"/>
                      </w:pPr>
                      <w:r>
                        <w:rPr>
                          <w:rFonts w:ascii="Calibri" w:hAnsi="Calibri" w:eastAsia="仿宋" w:cs="Times New Roman"/>
                          <w:color w:val="000000"/>
                          <w:kern w:val="2"/>
                        </w:rPr>
                        <w:t xml:space="preserve"> </w:t>
                      </w:r>
                      <w:r>
                        <w:rPr>
                          <w:rFonts w:hint="eastAsia" w:ascii="Calibri" w:hAnsi="仿宋" w:eastAsia="仿宋" w:cs="Times New Roman"/>
                          <w:color w:val="000000"/>
                          <w:kern w:val="2"/>
                        </w:rPr>
                        <w:t>二沉池</w:t>
                      </w:r>
                    </w:p>
                  </w:txbxContent>
                </v:textbox>
              </v:shape>
              <v:shape id="文本框 16" o:spid="_x0000_s2291" o:spt="202" type="#_x0000_t202" style="position:absolute;left:7963;top:13429;height:2819;width:93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中间水池</w:t>
                      </w:r>
                    </w:p>
                  </w:txbxContent>
                </v:textbox>
              </v:shape>
              <v:shape id="直接箭头连接符 26" o:spid="_x0000_s2292" o:spt="32" type="#_x0000_t32" style="position:absolute;left:12504;top:16234;flip:x;height:276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path arrowok="t"/>
                <v:fill on="f" focussize="0,0"/>
                <v:stroke color="#000000" endarrow="block"/>
                <v:imagedata o:title=""/>
                <o:lock v:ext="edit" aspectratio="f"/>
              </v:shape>
              <v:shape id="文本框 33" o:spid="_x0000_s2293" o:spt="202" type="#_x0000_t202" style="position:absolute;left:6803;top:19003;height:2622;width:1212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多介质过滤器</w:t>
                      </w:r>
                    </w:p>
                  </w:txbxContent>
                </v:textbox>
              </v:shape>
              <v:shape id="直接箭头连接符 28" o:spid="_x0000_s2294" o:spt="32" type="#_x0000_t32" style="position:absolute;left:18970;top:20142;flip:y;height:22;width:20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path arrowok="t"/>
                <v:fill on="f" focussize="0,0"/>
                <v:stroke color="#000000" endarrow="block"/>
                <v:imagedata o:title=""/>
                <o:lock v:ext="edit" aspectratio="f"/>
              </v:shape>
              <v:shape id="文本框 35" o:spid="_x0000_s2295" o:spt="202" type="#_x0000_t202" style="position:absolute;left:21140;top:19003;height:2622;width:1212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活性炭过滤器</w:t>
                      </w:r>
                    </w:p>
                  </w:txbxContent>
                </v:textbox>
              </v:shape>
              <v:shape id="文本框 16" o:spid="_x0000_s2296" o:spt="202" type="#_x0000_t202" style="position:absolute;left:35478;top:18905;height:2818;width:93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path/>
                <v:fill on="t" color2="#FFFFFF" focussize="0,0"/>
                <v:stroke color="#000000" joinstyle="miter"/>
                <v:imagedata o:title=""/>
                <o:lock v:ext="edit" aspectratio="f"/>
                <v:textbox>
                  <w:txbxContent>
                    <w:p>
                      <w:pPr>
                        <w:pStyle w:val="15"/>
                        <w:spacing w:before="0" w:beforeAutospacing="0" w:after="0" w:afterAutospacing="0"/>
                        <w:jc w:val="center"/>
                      </w:pPr>
                      <w:r>
                        <w:rPr>
                          <w:rFonts w:hint="eastAsia" w:ascii="Calibri" w:hAnsi="仿宋" w:eastAsia="仿宋" w:cs="Times New Roman"/>
                          <w:color w:val="000000"/>
                          <w:kern w:val="2"/>
                        </w:rPr>
                        <w:t>排放水池</w:t>
                      </w:r>
                    </w:p>
                  </w:txbxContent>
                </v:textbox>
              </v:shape>
              <v:shape id="直接箭头连接符 31" o:spid="_x0000_s2297" o:spt="32" type="#_x0000_t32" style="position:absolute;left:33303;top:20509;flip:y;height:23;width:20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path arrowok="t"/>
                <v:fill on="f" focussize="0,0"/>
                <v:stroke color="#000000" endarrow="block"/>
                <v:imagedata o:title=""/>
                <o:lock v:ext="edit" aspectratio="f"/>
              </v:shape>
              <v:shape id="直接箭头连接符 32" o:spid="_x0000_s2298" o:spt="32" type="#_x0000_t32" style="position:absolute;left:17654;top:14880;height:0;width:38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kFsMAAADbAAAADwAAAGRycy9kb3ducmV2LnhtbESPzWrCQBSF94W+w3CFbkQnTaGV6ChF&#10;Esiii6pduLxkrkkwcydkJia+vRMouDycn4+z2Y2mETfqXG1ZwfsyAkFcWF1zqeDvlC1WIJxH1thY&#10;JgV3crDbvr5sMNF24APdjr4UYYRdggoq79tESldUZNAtbUscvIvtDPogu1LqDocwbhoZR9GnNFhz&#10;IFTY0r6i4nrszcSd96TP6e889Vke9/vi6yddKfU2G7/XIDyN/hn+b+dawUcM05fwA+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ZBbDAAAA2wAAAA8AAAAAAAAAAAAA&#10;AAAAoQIAAGRycy9kb3ducmV2LnhtbFBLBQYAAAAABAAEAPkAAACRAwAAAAA=&#10;">
                <v:path arrowok="t"/>
                <v:fill on="f" focussize="0,0"/>
                <v:stroke color="#000000" startarrow="block"/>
                <v:imagedata o:title=""/>
                <o:lock v:ext="edit" aspectratio="f"/>
              </v:shape>
              <v:shape id="直接箭头连接符 33" o:spid="_x0000_s2299" o:spt="32" type="#_x0000_t32" style="position:absolute;left:40115;top:16136;flip:x y;height:276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BhsMAAADbAAAADwAAAGRycy9kb3ducmV2LnhtbESPT2vCQBTE74V+h+UVvNVNYxCNrlJa&#10;hCJe/HPw+Mg+N6HZtyH7qum3dwsFj8PM/IZZrgffqiv1sQls4G2cgSKugm3YGTgdN68zUFGQLbaB&#10;ycAvRVivnp+WWNpw4z1dD+JUgnAs0UAt0pVax6omj3EcOuLkXULvUZLsnbY93hLctzrPsqn22HBa&#10;qLGjj5qq78OPN3A++d08Lz69K9xR9kLbJi+mxoxehvcFKKFBHuH/9pc1MJn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wYbDAAAA2wAAAA8AAAAAAAAAAAAA&#10;AAAAoQIAAGRycy9kb3ducmV2LnhtbFBLBQYAAAAABAAEAPkAAACRAwAAAAA=&#10;">
                <v:path arrowok="t"/>
                <v:fill on="f" focussize="0,0"/>
                <v:stroke color="#000000" endarrow="block"/>
                <v:imagedata o:title=""/>
                <o:lock v:ext="edit" aspectratio="f"/>
              </v:shape>
            </v:group>
            <v:shape id="文本框 43" o:spid="_x0000_s2300" o:spt="202" type="#_x0000_t202" style="position:absolute;left:9378;top:24782;height:3219;width:397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v:path/>
              <v:fill on="f" focussize="0,0"/>
              <v:stroke on="f"/>
              <v:imagedata o:title=""/>
              <o:lock v:ext="edit" aspectratio="f"/>
              <v:textbox style="mso-fit-shape-to-text:t;">
                <w:txbxContent>
                  <w:p>
                    <w:pPr>
                      <w:pStyle w:val="15"/>
                      <w:spacing w:before="0" w:beforeAutospacing="0" w:after="0" w:afterAutospacing="0"/>
                    </w:pPr>
                    <w:r>
                      <w:rPr>
                        <w:rFonts w:hint="eastAsia" w:ascii="仿宋" w:hAnsi="仿宋" w:eastAsia="仿宋" w:cs="Times New Roman"/>
                        <w:b/>
                        <w:bCs/>
                        <w:color w:val="000000"/>
                        <w:kern w:val="24"/>
                        <w:sz w:val="28"/>
                        <w:szCs w:val="28"/>
                      </w:rPr>
                      <w:t>图11.2-1    污水处理站废水处理工艺流程图</w:t>
                    </w:r>
                  </w:p>
                </w:txbxContent>
              </v:textbox>
            </v:shape>
          </v:group>
        </w:pict>
      </w: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sz w:val="28"/>
          <w:szCs w:val="28"/>
        </w:rPr>
      </w:pPr>
    </w:p>
    <w:p>
      <w:pPr>
        <w:pStyle w:val="32"/>
        <w:spacing w:before="120" w:after="120"/>
        <w:rPr>
          <w:rFonts w:hint="eastAsia" w:asciiTheme="minorEastAsia" w:hAnsiTheme="minorEastAsia" w:eastAsiaTheme="minorEastAsia" w:cstheme="minorEastAsia"/>
        </w:rPr>
      </w:pPr>
    </w:p>
    <w:p>
      <w:pPr>
        <w:pStyle w:val="30"/>
        <w:spacing w:before="120" w:after="120"/>
        <w:rPr>
          <w:rFonts w:hint="eastAsia" w:asciiTheme="minorEastAsia" w:hAnsiTheme="minorEastAsia" w:eastAsiaTheme="minorEastAsia" w:cstheme="minorEastAsia"/>
        </w:rPr>
      </w:pPr>
      <w:bookmarkStart w:id="102" w:name="_Toc16687"/>
      <w:r>
        <w:rPr>
          <w:rFonts w:hint="eastAsia" w:asciiTheme="minorEastAsia" w:hAnsiTheme="minorEastAsia" w:eastAsiaTheme="minorEastAsia" w:cstheme="minorEastAsia"/>
        </w:rPr>
        <w:t>11.3 废气污染防治措施、达标情况及运行费用经济分析</w:t>
      </w:r>
      <w:bookmarkEnd w:id="102"/>
    </w:p>
    <w:p>
      <w:pPr>
        <w:spacing w:line="360" w:lineRule="auto"/>
        <w:ind w:firstLine="560" w:firstLineChars="200"/>
        <w:rPr>
          <w:rFonts w:hint="eastAsia" w:asciiTheme="minorEastAsia" w:hAnsiTheme="minorEastAsia" w:eastAsiaTheme="minorEastAsia" w:cstheme="minorEastAsia"/>
          <w:sz w:val="28"/>
          <w:szCs w:val="28"/>
        </w:rPr>
      </w:pPr>
      <w:bookmarkStart w:id="103" w:name="_Toc224440880"/>
      <w:r>
        <w:rPr>
          <w:rFonts w:hint="eastAsia" w:asciiTheme="minorEastAsia" w:hAnsiTheme="minorEastAsia" w:eastAsiaTheme="minorEastAsia" w:cstheme="minorEastAsia"/>
          <w:sz w:val="28"/>
          <w:szCs w:val="28"/>
        </w:rPr>
        <w:t>木加工工段的粉尘经集气吸尘罩收集后通过高效旋风分离器及脉冲式布袋除尘器集中处理，大部分粉尘收集中在布袋里；</w:t>
      </w:r>
      <w:r>
        <w:rPr>
          <w:rFonts w:hint="eastAsia" w:asciiTheme="minorEastAsia" w:hAnsiTheme="minorEastAsia" w:eastAsiaTheme="minorEastAsia" w:cstheme="minorEastAsia"/>
          <w:sz w:val="28"/>
          <w:szCs w:val="28"/>
          <w:lang w:val="en-US" w:eastAsia="zh-CN"/>
        </w:rPr>
        <w:t>上胶</w:t>
      </w:r>
      <w:r>
        <w:rPr>
          <w:rFonts w:hint="eastAsia" w:asciiTheme="minorEastAsia" w:hAnsiTheme="minorEastAsia" w:eastAsiaTheme="minorEastAsia" w:cstheme="minorEastAsia"/>
          <w:sz w:val="28"/>
          <w:szCs w:val="28"/>
        </w:rPr>
        <w:t>工段的甲醛废气通过车间收尘除尘系统大流量通风机引出后高空排放；</w:t>
      </w:r>
      <w:r>
        <w:rPr>
          <w:rFonts w:hint="eastAsia" w:asciiTheme="minorEastAsia" w:hAnsiTheme="minorEastAsia" w:eastAsiaTheme="minorEastAsia" w:cstheme="minorEastAsia"/>
          <w:sz w:val="28"/>
          <w:szCs w:val="28"/>
          <w:lang w:val="en-US" w:eastAsia="zh-CN"/>
        </w:rPr>
        <w:t>封蜡</w:t>
      </w:r>
      <w:r>
        <w:rPr>
          <w:rFonts w:hint="eastAsia" w:asciiTheme="minorEastAsia" w:hAnsiTheme="minorEastAsia" w:eastAsiaTheme="minorEastAsia" w:cstheme="minorEastAsia"/>
          <w:sz w:val="28"/>
          <w:szCs w:val="28"/>
        </w:rPr>
        <w:t>工段废气通过车间收尘除尘系统大流量通风机引出后</w:t>
      </w:r>
      <w:r>
        <w:rPr>
          <w:rFonts w:hint="eastAsia" w:asciiTheme="minorEastAsia" w:hAnsiTheme="minorEastAsia" w:eastAsiaTheme="minorEastAsia" w:cstheme="minorEastAsia"/>
          <w:sz w:val="28"/>
          <w:szCs w:val="28"/>
          <w:lang w:val="en-US" w:eastAsia="zh-CN"/>
        </w:rPr>
        <w:t>经过滤网</w:t>
      </w:r>
      <w:r>
        <w:rPr>
          <w:rFonts w:hint="eastAsia" w:asciiTheme="minorEastAsia" w:hAnsiTheme="minorEastAsia" w:eastAsiaTheme="minorEastAsia" w:cstheme="minorEastAsia"/>
          <w:sz w:val="28"/>
          <w:szCs w:val="28"/>
        </w:rPr>
        <w:t>高空排放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导热油炉产生的废气经配套的旋风多管除尘器处理后高空排放减少对周围环境的影响。</w:t>
      </w: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color w:val="auto"/>
          <w:sz w:val="28"/>
          <w:szCs w:val="28"/>
        </w:rPr>
        <w:t>根据</w:t>
      </w:r>
      <w:r>
        <w:rPr>
          <w:rFonts w:hint="eastAsia" w:asciiTheme="minorEastAsia" w:hAnsiTheme="minorEastAsia" w:eastAsiaTheme="minorEastAsia" w:cstheme="minorEastAsia"/>
          <w:color w:val="auto"/>
          <w:sz w:val="28"/>
          <w:szCs w:val="28"/>
          <w:highlight w:val="none"/>
        </w:rPr>
        <w:t>2016年</w:t>
      </w:r>
      <w:r>
        <w:rPr>
          <w:rFonts w:hint="eastAsia" w:asciiTheme="minorEastAsia" w:hAnsiTheme="minorEastAsia" w:eastAsiaTheme="minorEastAsia" w:cstheme="minorEastAsia"/>
          <w:color w:val="auto"/>
          <w:sz w:val="28"/>
          <w:szCs w:val="28"/>
          <w:highlight w:val="none"/>
          <w:lang w:val="en-US" w:eastAsia="zh-CN"/>
        </w:rPr>
        <w:t>12</w:t>
      </w:r>
      <w:r>
        <w:rPr>
          <w:rFonts w:hint="eastAsia" w:asciiTheme="minorEastAsia" w:hAnsiTheme="minorEastAsia" w:eastAsiaTheme="minorEastAsia" w:cstheme="minorEastAsia"/>
          <w:color w:val="auto"/>
          <w:sz w:val="28"/>
          <w:szCs w:val="28"/>
          <w:highlight w:val="none"/>
        </w:rPr>
        <w:t>月</w:t>
      </w: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日</w:t>
      </w:r>
      <w:r>
        <w:rPr>
          <w:rFonts w:hint="eastAsia" w:asciiTheme="minorEastAsia" w:hAnsiTheme="minorEastAsia" w:eastAsiaTheme="minorEastAsia" w:cstheme="minorEastAsia"/>
          <w:color w:val="auto"/>
          <w:sz w:val="28"/>
          <w:szCs w:val="28"/>
        </w:rPr>
        <w:t>，无锡中证检测技术有限公司对项目</w:t>
      </w:r>
      <w:r>
        <w:rPr>
          <w:rFonts w:hint="eastAsia" w:asciiTheme="minorEastAsia" w:hAnsiTheme="minorEastAsia" w:eastAsiaTheme="minorEastAsia" w:cstheme="minorEastAsia"/>
          <w:color w:val="auto"/>
          <w:sz w:val="28"/>
          <w:szCs w:val="28"/>
          <w:lang w:val="en-US" w:eastAsia="zh-CN"/>
        </w:rPr>
        <w:t>废气</w:t>
      </w:r>
      <w:r>
        <w:rPr>
          <w:rFonts w:hint="eastAsia" w:asciiTheme="minorEastAsia" w:hAnsiTheme="minorEastAsia" w:eastAsiaTheme="minorEastAsia" w:cstheme="minorEastAsia"/>
          <w:color w:val="auto"/>
          <w:sz w:val="28"/>
          <w:szCs w:val="28"/>
        </w:rPr>
        <w:t>监控点浓度检测结果</w:t>
      </w:r>
      <w:r>
        <w:rPr>
          <w:rFonts w:hint="eastAsia" w:asciiTheme="minorEastAsia" w:hAnsiTheme="minorEastAsia" w:eastAsiaTheme="minorEastAsia" w:cstheme="minorEastAsia"/>
          <w:color w:val="auto"/>
          <w:sz w:val="28"/>
          <w:szCs w:val="28"/>
          <w:lang w:val="en-US" w:eastAsia="zh-CN"/>
        </w:rPr>
        <w:t>以及估算模式对废气的预测</w:t>
      </w:r>
      <w:r>
        <w:rPr>
          <w:rFonts w:hint="eastAsia" w:asciiTheme="minorEastAsia" w:hAnsiTheme="minorEastAsia" w:eastAsiaTheme="minorEastAsia" w:cstheme="minorEastAsia"/>
          <w:color w:val="auto"/>
          <w:sz w:val="28"/>
          <w:szCs w:val="28"/>
        </w:rPr>
        <w:t>，公司</w:t>
      </w:r>
      <w:r>
        <w:rPr>
          <w:rFonts w:hint="eastAsia" w:asciiTheme="minorEastAsia" w:hAnsiTheme="minorEastAsia" w:eastAsiaTheme="minorEastAsia" w:cstheme="minorEastAsia"/>
          <w:color w:val="auto"/>
          <w:sz w:val="28"/>
          <w:szCs w:val="28"/>
          <w:lang w:val="en-US" w:eastAsia="zh-CN"/>
        </w:rPr>
        <w:t>废气</w:t>
      </w:r>
      <w:r>
        <w:rPr>
          <w:rFonts w:hint="eastAsia" w:asciiTheme="minorEastAsia" w:hAnsiTheme="minorEastAsia" w:eastAsiaTheme="minorEastAsia" w:cstheme="minorEastAsia"/>
          <w:color w:val="auto"/>
          <w:sz w:val="28"/>
          <w:szCs w:val="28"/>
        </w:rPr>
        <w:t>浓度符合标准要求，因此本项目废气可实现达标排放。</w:t>
      </w:r>
      <w:r>
        <w:rPr>
          <w:rFonts w:hint="eastAsia" w:asciiTheme="minorEastAsia" w:hAnsiTheme="minorEastAsia" w:eastAsiaTheme="minorEastAsia" w:cstheme="minorEastAsia"/>
          <w:sz w:val="28"/>
          <w:szCs w:val="28"/>
        </w:rPr>
        <w:t>本项目主要为脉冲布袋除尘器设施运行及车间排风扇运行费用，总投资40万，</w:t>
      </w:r>
      <w:r>
        <w:rPr>
          <w:rFonts w:hint="eastAsia" w:asciiTheme="minorEastAsia" w:hAnsiTheme="minorEastAsia" w:eastAsiaTheme="minorEastAsia" w:cstheme="minorEastAsia"/>
          <w:sz w:val="28"/>
          <w:szCs w:val="28"/>
          <w:lang w:val="en-US" w:eastAsia="zh-CN"/>
        </w:rPr>
        <w:t>年</w:t>
      </w:r>
      <w:r>
        <w:rPr>
          <w:rFonts w:hint="eastAsia" w:asciiTheme="minorEastAsia" w:hAnsiTheme="minorEastAsia" w:eastAsiaTheme="minorEastAsia" w:cstheme="minorEastAsia"/>
          <w:sz w:val="28"/>
          <w:szCs w:val="28"/>
        </w:rPr>
        <w:t>运行费用</w:t>
      </w:r>
      <w:r>
        <w:rPr>
          <w:rFonts w:hint="eastAsia" w:asciiTheme="minorEastAsia" w:hAnsiTheme="minorEastAsia" w:eastAsiaTheme="minorEastAsia" w:cstheme="minorEastAsia"/>
          <w:sz w:val="28"/>
          <w:szCs w:val="28"/>
          <w:lang w:val="en-US" w:eastAsia="zh-CN"/>
        </w:rPr>
        <w:t>1万元</w:t>
      </w:r>
      <w:r>
        <w:rPr>
          <w:rFonts w:hint="eastAsia" w:asciiTheme="minorEastAsia" w:hAnsiTheme="minorEastAsia" w:eastAsiaTheme="minorEastAsia" w:cstheme="minorEastAsia"/>
          <w:sz w:val="28"/>
          <w:szCs w:val="28"/>
        </w:rPr>
        <w:t>，在企业可接受范围内。</w:t>
      </w:r>
    </w:p>
    <w:bookmarkEnd w:id="103"/>
    <w:p>
      <w:pPr>
        <w:pStyle w:val="30"/>
        <w:spacing w:before="120" w:after="120"/>
        <w:rPr>
          <w:rFonts w:hint="eastAsia" w:asciiTheme="minorEastAsia" w:hAnsiTheme="minorEastAsia" w:eastAsiaTheme="minorEastAsia" w:cstheme="minorEastAsia"/>
        </w:rPr>
      </w:pPr>
      <w:bookmarkStart w:id="104" w:name="_Toc8565"/>
      <w:r>
        <w:rPr>
          <w:rFonts w:hint="eastAsia" w:asciiTheme="minorEastAsia" w:hAnsiTheme="minorEastAsia" w:eastAsiaTheme="minorEastAsia" w:cstheme="minorEastAsia"/>
        </w:rPr>
        <w:t>11.4 固体废弃物治理措施、相关规定满足情况及运行费用经济分析</w:t>
      </w:r>
      <w:bookmarkEnd w:id="104"/>
    </w:p>
    <w:p>
      <w:pPr>
        <w:spacing w:line="360" w:lineRule="auto"/>
        <w:ind w:firstLine="560" w:firstLineChars="200"/>
        <w:rPr>
          <w:rFonts w:hint="eastAsia" w:asciiTheme="minorEastAsia" w:hAnsiTheme="minorEastAsia" w:eastAsiaTheme="minorEastAsia" w:cstheme="minorEastAsia"/>
          <w:sz w:val="28"/>
          <w:szCs w:val="28"/>
        </w:rPr>
      </w:pPr>
      <w:r>
        <w:rPr>
          <w:rFonts w:hint="eastAsia" w:hAnsi="宋体"/>
          <w:sz w:val="28"/>
          <w:szCs w:val="28"/>
        </w:rPr>
        <w:t>该项目正常工况下，</w:t>
      </w:r>
      <w:r>
        <w:rPr>
          <w:rFonts w:hAnsi="宋体"/>
          <w:sz w:val="28"/>
          <w:szCs w:val="28"/>
        </w:rPr>
        <w:t>产生的固废主要有：</w:t>
      </w:r>
      <w:r>
        <w:rPr>
          <w:rFonts w:hint="eastAsia" w:asciiTheme="minorEastAsia" w:hAnsiTheme="minorEastAsia" w:eastAsiaTheme="minorEastAsia" w:cstheme="minorEastAsia"/>
          <w:sz w:val="28"/>
          <w:szCs w:val="28"/>
        </w:rPr>
        <w:t>废弃木材（残次品边角料），木屑，木炭灰渣，生物污泥，生活垃圾</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废胶水桶，废液压油，废活性炭，废油漆桶</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其中，</w:t>
      </w:r>
      <w:r>
        <w:rPr>
          <w:rFonts w:hint="eastAsia" w:asciiTheme="minorEastAsia" w:hAnsiTheme="minorEastAsia" w:eastAsiaTheme="minorEastAsia" w:cstheme="minorEastAsia"/>
          <w:sz w:val="28"/>
          <w:szCs w:val="28"/>
        </w:rPr>
        <w:t>废弃木材（残次品边角料），木屑，木炭灰渣，属于一般工业固废，可外售综合利用。废胶水桶，废液压油，废活性炭，废油漆桶属于危险废物，须委托资质单位处置。生物污泥，生活垃圾由环卫部门统一清运</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全厂固废处理</w:t>
      </w:r>
      <w:r>
        <w:rPr>
          <w:rFonts w:hint="eastAsia" w:asciiTheme="minorEastAsia" w:hAnsiTheme="minorEastAsia" w:eastAsiaTheme="minorEastAsia" w:cstheme="minorEastAsia"/>
          <w:sz w:val="28"/>
          <w:szCs w:val="28"/>
        </w:rPr>
        <w:t>总投资5万元，</w:t>
      </w:r>
      <w:r>
        <w:rPr>
          <w:rFonts w:hint="eastAsia" w:asciiTheme="minorEastAsia" w:hAnsiTheme="minorEastAsia" w:eastAsiaTheme="minorEastAsia" w:cstheme="minorEastAsia"/>
          <w:sz w:val="28"/>
          <w:szCs w:val="28"/>
          <w:lang w:val="en-US" w:eastAsia="zh-CN"/>
        </w:rPr>
        <w:t>年</w:t>
      </w:r>
      <w:r>
        <w:rPr>
          <w:rFonts w:hint="eastAsia" w:asciiTheme="minorEastAsia" w:hAnsiTheme="minorEastAsia" w:eastAsiaTheme="minorEastAsia" w:cstheme="minorEastAsia"/>
          <w:sz w:val="28"/>
          <w:szCs w:val="28"/>
        </w:rPr>
        <w:t>运行费用</w:t>
      </w:r>
      <w:r>
        <w:rPr>
          <w:rFonts w:hint="eastAsia" w:asciiTheme="minorEastAsia" w:hAnsiTheme="minorEastAsia" w:eastAsiaTheme="minorEastAsia" w:cstheme="minorEastAsia"/>
          <w:sz w:val="28"/>
          <w:szCs w:val="28"/>
          <w:lang w:val="en-US" w:eastAsia="zh-CN"/>
        </w:rPr>
        <w:t>为2万元</w:t>
      </w:r>
      <w:r>
        <w:rPr>
          <w:rFonts w:hint="eastAsia" w:asciiTheme="minorEastAsia" w:hAnsiTheme="minorEastAsia" w:eastAsiaTheme="minorEastAsia" w:cstheme="minorEastAsia"/>
          <w:sz w:val="28"/>
          <w:szCs w:val="28"/>
        </w:rPr>
        <w:t>，在企业可接受范围内。</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公司现有固体废物的贮存满足“防风、防雨、防渗”等国家相关标准规定的要求，能够有效防止二次污染；利用和处理处置方式满足相关要求，可以实现固体废物零排放。</w:t>
      </w:r>
    </w:p>
    <w:p>
      <w:pPr>
        <w:pStyle w:val="30"/>
        <w:spacing w:before="120" w:after="120"/>
        <w:rPr>
          <w:rFonts w:hint="eastAsia" w:asciiTheme="minorEastAsia" w:hAnsiTheme="minorEastAsia" w:eastAsiaTheme="minorEastAsia" w:cstheme="minorEastAsia"/>
        </w:rPr>
      </w:pPr>
      <w:bookmarkStart w:id="105" w:name="_Toc15648"/>
      <w:r>
        <w:rPr>
          <w:rFonts w:hint="eastAsia" w:asciiTheme="minorEastAsia" w:hAnsiTheme="minorEastAsia" w:eastAsiaTheme="minorEastAsia" w:cstheme="minorEastAsia"/>
        </w:rPr>
        <w:t>11.5 噪声治理措施、达标情况及运行费用经济分析</w:t>
      </w:r>
      <w:bookmarkEnd w:id="105"/>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该项目选用低噪声设备，对空压机、风机等噪音大的设备设置在室内或加隔声罩，集中分布，设置采取隔震座等措施，来降低噪声排放的影响。</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根据无锡市中证检测技术有限公司于</w:t>
      </w:r>
      <w:r>
        <w:rPr>
          <w:rFonts w:hint="eastAsia" w:asciiTheme="minorEastAsia" w:hAnsiTheme="minorEastAsia" w:eastAsiaTheme="minorEastAsia" w:cstheme="minorEastAsia"/>
          <w:sz w:val="28"/>
          <w:szCs w:val="28"/>
          <w:highlight w:val="none"/>
        </w:rPr>
        <w:t>2016年</w:t>
      </w:r>
      <w:r>
        <w:rPr>
          <w:rFonts w:hint="eastAsia" w:asciiTheme="minorEastAsia" w:hAnsiTheme="minorEastAsia" w:eastAsiaTheme="minorEastAsia" w:cstheme="minorEastAsia"/>
          <w:sz w:val="28"/>
          <w:szCs w:val="28"/>
          <w:highlight w:val="none"/>
          <w:lang w:val="en-US" w:eastAsia="zh-CN"/>
        </w:rPr>
        <w:t>12</w:t>
      </w:r>
      <w:r>
        <w:rPr>
          <w:rFonts w:hint="eastAsia" w:asciiTheme="minorEastAsia" w:hAnsiTheme="minorEastAsia" w:eastAsiaTheme="minorEastAsia" w:cstheme="minorEastAsia"/>
          <w:sz w:val="28"/>
          <w:szCs w:val="28"/>
          <w:highlight w:val="none"/>
        </w:rPr>
        <w:t>月</w:t>
      </w:r>
      <w:r>
        <w:rPr>
          <w:rFonts w:hint="eastAsia" w:asciiTheme="minorEastAsia" w:hAnsiTheme="minorEastAsia" w:eastAsiaTheme="minorEastAsia" w:cstheme="minorEastAsia"/>
          <w:sz w:val="28"/>
          <w:szCs w:val="28"/>
          <w:highlight w:val="none"/>
          <w:lang w:val="en-US" w:eastAsia="zh-CN"/>
        </w:rPr>
        <w:t>9</w:t>
      </w:r>
      <w:r>
        <w:rPr>
          <w:rFonts w:hint="eastAsia" w:asciiTheme="minorEastAsia" w:hAnsiTheme="minorEastAsia" w:eastAsiaTheme="minorEastAsia" w:cstheme="minorEastAsia"/>
          <w:sz w:val="28"/>
          <w:szCs w:val="28"/>
          <w:highlight w:val="none"/>
        </w:rPr>
        <w:t>日</w:t>
      </w:r>
      <w:r>
        <w:rPr>
          <w:rFonts w:hint="eastAsia" w:asciiTheme="minorEastAsia" w:hAnsiTheme="minorEastAsia" w:eastAsiaTheme="minorEastAsia" w:cstheme="minorEastAsia"/>
          <w:sz w:val="28"/>
          <w:szCs w:val="28"/>
        </w:rPr>
        <w:t>对公司各厂界噪声进行的监测结果，该公司正常工况下，各厂界噪声可达到《工业企业厂界环境噪声排放标准》（GB12348-2008）</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类标准要求。同时，区域声环境质量可达到《声环境质量标准》（GB3096-2008）的</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类功能区标准要求。</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该项目正常营运期间，每年噪声防治措施维护（包括检修等）费用约为1万元，在企业可承受的范围内。</w:t>
      </w:r>
    </w:p>
    <w:p>
      <w:pPr>
        <w:pStyle w:val="30"/>
        <w:spacing w:before="120" w:after="120"/>
        <w:rPr>
          <w:rFonts w:hint="eastAsia" w:asciiTheme="minorEastAsia" w:hAnsiTheme="minorEastAsia" w:eastAsiaTheme="minorEastAsia" w:cstheme="minorEastAsia"/>
        </w:rPr>
      </w:pPr>
      <w:bookmarkStart w:id="106" w:name="_Toc22749"/>
      <w:r>
        <w:rPr>
          <w:rFonts w:hint="eastAsia" w:asciiTheme="minorEastAsia" w:hAnsiTheme="minorEastAsia" w:eastAsiaTheme="minorEastAsia" w:cstheme="minorEastAsia"/>
        </w:rPr>
        <w:t>11.6 污染防治措施调查结论及改进措施</w:t>
      </w:r>
      <w:bookmarkEnd w:id="106"/>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建设项目三同时一览表见表11.6-1。</w:t>
      </w:r>
    </w:p>
    <w:p>
      <w:pPr>
        <w:pStyle w:val="5"/>
        <w:spacing w:before="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napToGrid w:val="0"/>
          <w:sz w:val="28"/>
          <w:szCs w:val="28"/>
        </w:rPr>
        <w:t>表11.6-1  环保三同时一览表</w:t>
      </w:r>
    </w:p>
    <w:tbl>
      <w:tblPr>
        <w:tblStyle w:val="20"/>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57"/>
        <w:gridCol w:w="1008"/>
        <w:gridCol w:w="1223"/>
        <w:gridCol w:w="9"/>
        <w:gridCol w:w="2223"/>
        <w:gridCol w:w="1406"/>
        <w:gridCol w:w="782"/>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类别</w:t>
            </w: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污染源</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污染物</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治理措施（设施数量、规模、处理能力等）</w:t>
            </w:r>
          </w:p>
        </w:tc>
        <w:tc>
          <w:tcPr>
            <w:tcW w:w="1406"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处理效果、执行标准或拟达要求</w:t>
            </w:r>
          </w:p>
        </w:tc>
        <w:tc>
          <w:tcPr>
            <w:tcW w:w="782"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投资</w:t>
            </w:r>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（万元）</w:t>
            </w:r>
          </w:p>
        </w:tc>
        <w:tc>
          <w:tcPr>
            <w:tcW w:w="566"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废气</w:t>
            </w: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木加工工段</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粉尘</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集气吸尘罩收集后通过高效旋风分离器及脉冲式布袋除尘器集中处理后通过2根15m高的排气筒高空排放</w:t>
            </w:r>
          </w:p>
        </w:tc>
        <w:tc>
          <w:tcPr>
            <w:tcW w:w="1406"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达标排放</w:t>
            </w:r>
          </w:p>
        </w:tc>
        <w:tc>
          <w:tcPr>
            <w:tcW w:w="782"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40</w:t>
            </w:r>
          </w:p>
        </w:tc>
        <w:tc>
          <w:tcPr>
            <w:tcW w:w="566" w:type="dxa"/>
            <w:vMerge w:val="restart"/>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三</w:t>
            </w:r>
          </w:p>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同</w:t>
            </w:r>
          </w:p>
          <w:p>
            <w:pPr>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Cs w:val="21"/>
                <w:lang w:val="en-US" w:eastAsia="zh-CN"/>
              </w:rPr>
              <w:t>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continue"/>
            <w:vAlign w:val="center"/>
          </w:tcPr>
          <w:p>
            <w:pPr>
              <w:jc w:val="center"/>
              <w:rPr>
                <w:rFonts w:hint="eastAsia" w:asciiTheme="minorEastAsia" w:hAnsiTheme="minorEastAsia" w:eastAsiaTheme="minorEastAsia" w:cstheme="minorEastAsia"/>
                <w:sz w:val="18"/>
                <w:szCs w:val="18"/>
              </w:rPr>
            </w:pP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上胶工段</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甲醛</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车间收尘除尘系统大流量通风机引出后通过</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根</w:t>
            </w:r>
            <w:r>
              <w:rPr>
                <w:rFonts w:hint="eastAsia" w:asciiTheme="minorEastAsia" w:hAnsiTheme="minorEastAsia" w:eastAsiaTheme="minorEastAsia" w:cstheme="minorEastAsia"/>
                <w:sz w:val="18"/>
                <w:szCs w:val="18"/>
                <w:lang w:val="en-US" w:eastAsia="zh-CN"/>
              </w:rPr>
              <w:t>15</w:t>
            </w:r>
            <w:r>
              <w:rPr>
                <w:rFonts w:hint="eastAsia" w:asciiTheme="minorEastAsia" w:hAnsiTheme="minorEastAsia" w:eastAsiaTheme="minorEastAsia" w:cstheme="minorEastAsia"/>
                <w:sz w:val="18"/>
                <w:szCs w:val="18"/>
              </w:rPr>
              <w:t>m高的排气筒高空排放</w:t>
            </w:r>
          </w:p>
        </w:tc>
        <w:tc>
          <w:tcPr>
            <w:tcW w:w="1406" w:type="dxa"/>
            <w:vMerge w:val="continue"/>
            <w:vAlign w:val="center"/>
          </w:tcPr>
          <w:p>
            <w:pPr>
              <w:jc w:val="center"/>
              <w:rPr>
                <w:rFonts w:hint="eastAsia" w:asciiTheme="minorEastAsia" w:hAnsiTheme="minorEastAsia" w:eastAsiaTheme="minorEastAsia" w:cstheme="minorEastAsia"/>
                <w:sz w:val="18"/>
                <w:szCs w:val="18"/>
              </w:rPr>
            </w:pPr>
          </w:p>
        </w:tc>
        <w:tc>
          <w:tcPr>
            <w:tcW w:w="782" w:type="dxa"/>
            <w:vMerge w:val="continue"/>
            <w:vAlign w:val="center"/>
          </w:tcPr>
          <w:p>
            <w:pPr>
              <w:jc w:val="center"/>
              <w:rPr>
                <w:rFonts w:hint="eastAsia" w:asciiTheme="minorEastAsia" w:hAnsiTheme="minorEastAsia" w:eastAsiaTheme="minorEastAsia" w:cstheme="minorEastAsia"/>
                <w:sz w:val="18"/>
                <w:szCs w:val="18"/>
              </w:rPr>
            </w:pPr>
          </w:p>
        </w:tc>
        <w:tc>
          <w:tcPr>
            <w:tcW w:w="566"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continue"/>
            <w:vAlign w:val="center"/>
          </w:tcPr>
          <w:p>
            <w:pPr>
              <w:jc w:val="center"/>
              <w:rPr>
                <w:rFonts w:hint="eastAsia" w:asciiTheme="minorEastAsia" w:hAnsiTheme="minorEastAsia" w:eastAsiaTheme="minorEastAsia" w:cstheme="minorEastAsia"/>
                <w:sz w:val="18"/>
                <w:szCs w:val="18"/>
              </w:rPr>
            </w:pPr>
          </w:p>
        </w:tc>
        <w:tc>
          <w:tcPr>
            <w:tcW w:w="1008" w:type="dxa"/>
            <w:vAlign w:val="center"/>
          </w:tcPr>
          <w:p>
            <w:pPr>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封蜡工段</w:t>
            </w:r>
          </w:p>
        </w:tc>
        <w:tc>
          <w:tcPr>
            <w:tcW w:w="1232" w:type="dxa"/>
            <w:gridSpan w:val="2"/>
            <w:vAlign w:val="center"/>
          </w:tcPr>
          <w:p>
            <w:pPr>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非甲烷总烃</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车间收尘除尘系统大流量通风机引出后</w:t>
            </w:r>
            <w:r>
              <w:rPr>
                <w:rFonts w:hint="eastAsia" w:asciiTheme="minorEastAsia" w:hAnsiTheme="minorEastAsia" w:eastAsiaTheme="minorEastAsia" w:cstheme="minorEastAsia"/>
                <w:sz w:val="18"/>
                <w:szCs w:val="18"/>
                <w:lang w:val="en-US" w:eastAsia="zh-CN"/>
              </w:rPr>
              <w:t>经过滤网</w:t>
            </w:r>
            <w:r>
              <w:rPr>
                <w:rFonts w:hint="eastAsia" w:asciiTheme="minorEastAsia" w:hAnsiTheme="minorEastAsia" w:eastAsiaTheme="minorEastAsia" w:cstheme="minorEastAsia"/>
                <w:sz w:val="18"/>
                <w:szCs w:val="18"/>
              </w:rPr>
              <w:t>通过</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根</w:t>
            </w:r>
            <w:r>
              <w:rPr>
                <w:rFonts w:hint="eastAsia" w:asciiTheme="minorEastAsia" w:hAnsiTheme="minorEastAsia" w:eastAsiaTheme="minorEastAsia" w:cstheme="minorEastAsia"/>
                <w:sz w:val="18"/>
                <w:szCs w:val="18"/>
                <w:lang w:val="en-US" w:eastAsia="zh-CN"/>
              </w:rPr>
              <w:t>15</w:t>
            </w:r>
            <w:r>
              <w:rPr>
                <w:rFonts w:hint="eastAsia" w:asciiTheme="minorEastAsia" w:hAnsiTheme="minorEastAsia" w:eastAsiaTheme="minorEastAsia" w:cstheme="minorEastAsia"/>
                <w:sz w:val="18"/>
                <w:szCs w:val="18"/>
              </w:rPr>
              <w:t>m高的排气筒高空排放</w:t>
            </w:r>
          </w:p>
        </w:tc>
        <w:tc>
          <w:tcPr>
            <w:tcW w:w="1406" w:type="dxa"/>
            <w:vMerge w:val="continue"/>
            <w:vAlign w:val="center"/>
          </w:tcPr>
          <w:p>
            <w:pPr>
              <w:jc w:val="center"/>
              <w:rPr>
                <w:rFonts w:hint="eastAsia" w:asciiTheme="minorEastAsia" w:hAnsiTheme="minorEastAsia" w:eastAsiaTheme="minorEastAsia" w:cstheme="minorEastAsia"/>
                <w:sz w:val="18"/>
                <w:szCs w:val="18"/>
              </w:rPr>
            </w:pPr>
          </w:p>
        </w:tc>
        <w:tc>
          <w:tcPr>
            <w:tcW w:w="782" w:type="dxa"/>
            <w:vMerge w:val="continue"/>
            <w:vAlign w:val="center"/>
          </w:tcPr>
          <w:p>
            <w:pPr>
              <w:jc w:val="center"/>
              <w:rPr>
                <w:rFonts w:hint="eastAsia" w:asciiTheme="minorEastAsia" w:hAnsiTheme="minorEastAsia" w:eastAsiaTheme="minorEastAsia" w:cstheme="minorEastAsia"/>
                <w:sz w:val="18"/>
                <w:szCs w:val="18"/>
              </w:rPr>
            </w:pPr>
          </w:p>
        </w:tc>
        <w:tc>
          <w:tcPr>
            <w:tcW w:w="566"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continue"/>
            <w:vAlign w:val="center"/>
          </w:tcPr>
          <w:p>
            <w:pPr>
              <w:jc w:val="center"/>
              <w:rPr>
                <w:rFonts w:hint="eastAsia" w:asciiTheme="minorEastAsia" w:hAnsiTheme="minorEastAsia" w:eastAsiaTheme="minorEastAsia" w:cstheme="minorEastAsia"/>
                <w:sz w:val="18"/>
                <w:szCs w:val="18"/>
              </w:rPr>
            </w:pP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导热油炉</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烟尘</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SO</w:t>
            </w:r>
            <w:r>
              <w:rPr>
                <w:rFonts w:hint="eastAsia" w:asciiTheme="minorEastAsia" w:hAnsiTheme="minorEastAsia" w:eastAsiaTheme="minorEastAsia" w:cstheme="minorEastAsia"/>
                <w:sz w:val="18"/>
                <w:szCs w:val="18"/>
                <w:vertAlign w:val="subscript"/>
                <w:lang w:val="en-US" w:eastAsia="zh-CN"/>
              </w:rPr>
              <w:t>2</w:t>
            </w:r>
            <w:r>
              <w:rPr>
                <w:rFonts w:hint="eastAsia" w:asciiTheme="minorEastAsia" w:hAnsiTheme="minorEastAsia" w:eastAsiaTheme="minorEastAsia" w:cstheme="minorEastAsia"/>
                <w:sz w:val="18"/>
                <w:szCs w:val="18"/>
                <w:lang w:val="en-US" w:eastAsia="zh-CN"/>
              </w:rPr>
              <w:t>、NO</w:t>
            </w:r>
            <w:r>
              <w:rPr>
                <w:rFonts w:hint="eastAsia" w:asciiTheme="minorEastAsia" w:hAnsiTheme="minorEastAsia" w:eastAsiaTheme="minorEastAsia" w:cstheme="minorEastAsia"/>
                <w:sz w:val="18"/>
                <w:szCs w:val="18"/>
                <w:vertAlign w:val="subscript"/>
                <w:lang w:val="en-US" w:eastAsia="zh-CN"/>
              </w:rPr>
              <w:t>X</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经配套的旋风多管除尘器处理后通过1根</w:t>
            </w:r>
            <w:r>
              <w:rPr>
                <w:rFonts w:hint="eastAsia" w:asciiTheme="minorEastAsia" w:hAnsiTheme="minorEastAsia" w:eastAsiaTheme="minorEastAsia" w:cstheme="minorEastAsia"/>
                <w:sz w:val="18"/>
                <w:szCs w:val="18"/>
                <w:lang w:val="en-US" w:eastAsia="zh-CN"/>
              </w:rPr>
              <w:t>20</w:t>
            </w:r>
            <w:r>
              <w:rPr>
                <w:rFonts w:hint="eastAsia" w:asciiTheme="minorEastAsia" w:hAnsiTheme="minorEastAsia" w:eastAsiaTheme="minorEastAsia" w:cstheme="minorEastAsia"/>
                <w:sz w:val="18"/>
                <w:szCs w:val="18"/>
              </w:rPr>
              <w:t>m高的排气筒高空排放</w:t>
            </w:r>
          </w:p>
        </w:tc>
        <w:tc>
          <w:tcPr>
            <w:tcW w:w="1406" w:type="dxa"/>
            <w:vMerge w:val="continue"/>
            <w:vAlign w:val="center"/>
          </w:tcPr>
          <w:p>
            <w:pPr>
              <w:jc w:val="center"/>
              <w:rPr>
                <w:rFonts w:hint="eastAsia" w:asciiTheme="minorEastAsia" w:hAnsiTheme="minorEastAsia" w:eastAsiaTheme="minorEastAsia" w:cstheme="minorEastAsia"/>
                <w:sz w:val="18"/>
                <w:szCs w:val="18"/>
              </w:rPr>
            </w:pPr>
          </w:p>
        </w:tc>
        <w:tc>
          <w:tcPr>
            <w:tcW w:w="782" w:type="dxa"/>
            <w:vMerge w:val="continue"/>
            <w:vAlign w:val="center"/>
          </w:tcPr>
          <w:p>
            <w:pPr>
              <w:jc w:val="center"/>
              <w:rPr>
                <w:rFonts w:hint="eastAsia" w:asciiTheme="minorEastAsia" w:hAnsiTheme="minorEastAsia" w:eastAsiaTheme="minorEastAsia" w:cstheme="minorEastAsia"/>
                <w:sz w:val="18"/>
                <w:szCs w:val="18"/>
              </w:rPr>
            </w:pPr>
          </w:p>
        </w:tc>
        <w:tc>
          <w:tcPr>
            <w:tcW w:w="566" w:type="dxa"/>
            <w:vMerge w:val="continue"/>
            <w:vAlign w:val="center"/>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废水处理</w:t>
            </w: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生活污水</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COD、SS、氨氮、总磷</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化粪池</w:t>
            </w:r>
          </w:p>
        </w:tc>
        <w:tc>
          <w:tcPr>
            <w:tcW w:w="1406"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达到接管要求</w:t>
            </w:r>
          </w:p>
        </w:tc>
        <w:tc>
          <w:tcPr>
            <w:tcW w:w="782"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30</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continue"/>
            <w:vAlign w:val="center"/>
          </w:tcPr>
          <w:p>
            <w:pPr>
              <w:jc w:val="center"/>
              <w:rPr>
                <w:rFonts w:hint="eastAsia" w:asciiTheme="minorEastAsia" w:hAnsiTheme="minorEastAsia" w:eastAsiaTheme="minorEastAsia" w:cstheme="minorEastAsia"/>
                <w:sz w:val="18"/>
                <w:szCs w:val="18"/>
              </w:rPr>
            </w:pP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工业废水</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COD、SS</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厂区污水处理站</w:t>
            </w:r>
          </w:p>
        </w:tc>
        <w:tc>
          <w:tcPr>
            <w:tcW w:w="1406" w:type="dxa"/>
            <w:vMerge w:val="continue"/>
            <w:vAlign w:val="center"/>
          </w:tcPr>
          <w:p>
            <w:pPr>
              <w:jc w:val="center"/>
              <w:rPr>
                <w:rFonts w:hint="eastAsia" w:asciiTheme="minorEastAsia" w:hAnsiTheme="minorEastAsia" w:eastAsiaTheme="minorEastAsia" w:cstheme="minorEastAsia"/>
                <w:sz w:val="18"/>
                <w:szCs w:val="18"/>
              </w:rPr>
            </w:pPr>
          </w:p>
        </w:tc>
        <w:tc>
          <w:tcPr>
            <w:tcW w:w="782" w:type="dxa"/>
            <w:vMerge w:val="continue"/>
            <w:vAlign w:val="center"/>
          </w:tcPr>
          <w:p>
            <w:pPr>
              <w:jc w:val="center"/>
              <w:rPr>
                <w:rFonts w:hint="eastAsia" w:asciiTheme="minorEastAsia" w:hAnsiTheme="minorEastAsia" w:eastAsiaTheme="minorEastAsia" w:cstheme="minorEastAsia"/>
                <w:sz w:val="18"/>
                <w:szCs w:val="18"/>
              </w:rPr>
            </w:pP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噪声</w:t>
            </w: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设备噪声</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噪声</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车间噪声、设备减震等措施</w:t>
            </w:r>
          </w:p>
        </w:tc>
        <w:tc>
          <w:tcPr>
            <w:tcW w:w="1406"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厂界达标排放</w:t>
            </w:r>
          </w:p>
        </w:tc>
        <w:tc>
          <w:tcPr>
            <w:tcW w:w="782"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4" w:hRule="atLeast"/>
          <w:jc w:val="center"/>
        </w:trPr>
        <w:tc>
          <w:tcPr>
            <w:tcW w:w="1457"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固废</w:t>
            </w: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职工生活</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生活垃圾</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当地环卫部门统一清运</w:t>
            </w:r>
          </w:p>
        </w:tc>
        <w:tc>
          <w:tcPr>
            <w:tcW w:w="1406"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零排放、无二次污染</w:t>
            </w:r>
          </w:p>
        </w:tc>
        <w:tc>
          <w:tcPr>
            <w:tcW w:w="782" w:type="dxa"/>
            <w:vMerge w:val="restart"/>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vMerge w:val="continue"/>
            <w:vAlign w:val="center"/>
          </w:tcPr>
          <w:p>
            <w:pPr>
              <w:widowControl/>
              <w:jc w:val="left"/>
              <w:rPr>
                <w:rFonts w:hint="eastAsia" w:asciiTheme="minorEastAsia" w:hAnsiTheme="minorEastAsia" w:eastAsiaTheme="minorEastAsia" w:cstheme="minorEastAsia"/>
                <w:sz w:val="18"/>
                <w:szCs w:val="18"/>
              </w:rPr>
            </w:pPr>
          </w:p>
        </w:tc>
        <w:tc>
          <w:tcPr>
            <w:tcW w:w="1008"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生产</w:t>
            </w:r>
          </w:p>
        </w:tc>
        <w:tc>
          <w:tcPr>
            <w:tcW w:w="1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工业固废</w:t>
            </w:r>
          </w:p>
        </w:tc>
        <w:tc>
          <w:tcPr>
            <w:tcW w:w="2223"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固废分类收集、有效处置</w:t>
            </w:r>
          </w:p>
        </w:tc>
        <w:tc>
          <w:tcPr>
            <w:tcW w:w="1406" w:type="dxa"/>
            <w:vMerge w:val="continue"/>
            <w:vAlign w:val="center"/>
          </w:tcPr>
          <w:p>
            <w:pPr>
              <w:widowControl/>
              <w:jc w:val="left"/>
              <w:rPr>
                <w:rFonts w:hint="eastAsia" w:asciiTheme="minorEastAsia" w:hAnsiTheme="minorEastAsia" w:eastAsiaTheme="minorEastAsia" w:cstheme="minorEastAsia"/>
                <w:sz w:val="18"/>
                <w:szCs w:val="18"/>
              </w:rPr>
            </w:pPr>
          </w:p>
        </w:tc>
        <w:tc>
          <w:tcPr>
            <w:tcW w:w="782" w:type="dxa"/>
            <w:vMerge w:val="continue"/>
            <w:vAlign w:val="center"/>
          </w:tcPr>
          <w:p>
            <w:pPr>
              <w:widowControl/>
              <w:jc w:val="left"/>
              <w:rPr>
                <w:rFonts w:hint="eastAsia" w:asciiTheme="minorEastAsia" w:hAnsiTheme="minorEastAsia" w:eastAsiaTheme="minorEastAsia" w:cstheme="minorEastAsia"/>
                <w:sz w:val="18"/>
                <w:szCs w:val="18"/>
              </w:rPr>
            </w:pP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产品、原料贮存</w:t>
            </w:r>
          </w:p>
        </w:tc>
        <w:tc>
          <w:tcPr>
            <w:tcW w:w="4463" w:type="dxa"/>
            <w:gridSpan w:val="4"/>
            <w:textDirection w:val="lrTb"/>
            <w:vAlign w:val="center"/>
          </w:tcPr>
          <w:p>
            <w:pPr>
              <w:ind w:firstLine="210" w:firstLineChars="0"/>
              <w:jc w:val="center"/>
              <w:rPr>
                <w:rFonts w:hint="eastAsia" w:asciiTheme="minorEastAsia" w:hAnsiTheme="minorEastAsia" w:eastAsiaTheme="minorEastAsia" w:cstheme="minorEastAsia"/>
                <w:sz w:val="18"/>
                <w:szCs w:val="18"/>
              </w:rPr>
            </w:pPr>
            <w:r>
              <w:rPr>
                <w:rFonts w:hint="eastAsia" w:ascii="宋体" w:hAnsi="宋体"/>
                <w:sz w:val="18"/>
                <w:szCs w:val="18"/>
              </w:rPr>
              <w:t>车间地面防渗、防漏</w:t>
            </w:r>
          </w:p>
        </w:tc>
        <w:tc>
          <w:tcPr>
            <w:tcW w:w="1406"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w:t>
            </w:r>
          </w:p>
        </w:tc>
        <w:tc>
          <w:tcPr>
            <w:tcW w:w="782"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5</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事故应急措施</w:t>
            </w:r>
          </w:p>
        </w:tc>
        <w:tc>
          <w:tcPr>
            <w:tcW w:w="4463" w:type="dxa"/>
            <w:gridSpan w:val="4"/>
            <w:textDirection w:val="lrTb"/>
            <w:vAlign w:val="center"/>
          </w:tcPr>
          <w:p>
            <w:pPr>
              <w:ind w:firstLine="210" w:firstLineChars="0"/>
              <w:jc w:val="center"/>
              <w:rPr>
                <w:rFonts w:hint="eastAsia" w:asciiTheme="minorEastAsia" w:hAnsiTheme="minorEastAsia" w:eastAsiaTheme="minorEastAsia" w:cstheme="minorEastAsia"/>
                <w:sz w:val="18"/>
                <w:szCs w:val="18"/>
              </w:rPr>
            </w:pPr>
            <w:r>
              <w:rPr>
                <w:rFonts w:hint="eastAsia" w:ascii="宋体" w:hAnsi="宋体"/>
                <w:sz w:val="18"/>
                <w:szCs w:val="18"/>
              </w:rPr>
              <w:t>消防、应急材料等</w:t>
            </w:r>
          </w:p>
        </w:tc>
        <w:tc>
          <w:tcPr>
            <w:tcW w:w="1406"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可满足事故应急要求</w:t>
            </w:r>
          </w:p>
        </w:tc>
        <w:tc>
          <w:tcPr>
            <w:tcW w:w="782" w:type="dxa"/>
            <w:textDirection w:val="lrTb"/>
            <w:vAlign w:val="center"/>
          </w:tcPr>
          <w:p>
            <w:pPr>
              <w:jc w:val="center"/>
              <w:rPr>
                <w:rFonts w:hint="eastAsia" w:asciiTheme="minorEastAsia" w:hAnsiTheme="minorEastAsia" w:eastAsiaTheme="minorEastAsia" w:cstheme="minorEastAsia"/>
                <w:sz w:val="18"/>
                <w:szCs w:val="18"/>
                <w:lang w:eastAsia="zh-CN"/>
              </w:rPr>
            </w:pPr>
            <w:r>
              <w:rPr>
                <w:rFonts w:hint="eastAsia" w:ascii="宋体" w:hAnsi="宋体" w:eastAsiaTheme="minorEastAsia"/>
                <w:sz w:val="18"/>
                <w:szCs w:val="18"/>
                <w:lang w:val="en-US" w:eastAsia="zh-CN"/>
              </w:rPr>
              <w:t>5</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环境管理（机构、监测能力等）</w:t>
            </w:r>
          </w:p>
        </w:tc>
        <w:tc>
          <w:tcPr>
            <w:tcW w:w="4463" w:type="dxa"/>
            <w:gridSpan w:val="4"/>
            <w:textDirection w:val="lrTb"/>
            <w:vAlign w:val="center"/>
          </w:tcPr>
          <w:p>
            <w:pPr>
              <w:ind w:firstLine="210" w:firstLineChars="0"/>
              <w:jc w:val="center"/>
              <w:rPr>
                <w:rFonts w:hint="eastAsia" w:asciiTheme="minorEastAsia" w:hAnsiTheme="minorEastAsia" w:eastAsiaTheme="minorEastAsia" w:cstheme="minorEastAsia"/>
                <w:sz w:val="18"/>
                <w:szCs w:val="18"/>
              </w:rPr>
            </w:pPr>
            <w:r>
              <w:rPr>
                <w:rFonts w:hint="eastAsia" w:ascii="宋体" w:hAnsi="宋体"/>
                <w:sz w:val="18"/>
                <w:szCs w:val="18"/>
              </w:rPr>
              <w:t>委托监测单位开展</w:t>
            </w:r>
          </w:p>
        </w:tc>
        <w:tc>
          <w:tcPr>
            <w:tcW w:w="1406"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w:t>
            </w:r>
          </w:p>
        </w:tc>
        <w:tc>
          <w:tcPr>
            <w:tcW w:w="782"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0</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清污分流、排污口规范化设置</w:t>
            </w:r>
          </w:p>
        </w:tc>
        <w:tc>
          <w:tcPr>
            <w:tcW w:w="4463" w:type="dxa"/>
            <w:gridSpan w:val="4"/>
            <w:textDirection w:val="lrTb"/>
            <w:vAlign w:val="center"/>
          </w:tcPr>
          <w:p>
            <w:pPr>
              <w:ind w:firstLine="210" w:firstLineChars="0"/>
              <w:jc w:val="center"/>
              <w:rPr>
                <w:rFonts w:hint="eastAsia" w:asciiTheme="minorEastAsia" w:hAnsiTheme="minorEastAsia" w:eastAsiaTheme="minorEastAsia" w:cstheme="minorEastAsia"/>
                <w:sz w:val="18"/>
                <w:szCs w:val="18"/>
              </w:rPr>
            </w:pPr>
            <w:r>
              <w:rPr>
                <w:rFonts w:hint="eastAsia" w:ascii="宋体" w:hAnsi="宋体"/>
                <w:sz w:val="18"/>
                <w:szCs w:val="18"/>
              </w:rPr>
              <w:t xml:space="preserve">清污分流管网、规范化排污口 </w:t>
            </w:r>
          </w:p>
        </w:tc>
        <w:tc>
          <w:tcPr>
            <w:tcW w:w="1406"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符合《江苏省排污口设置及规范化整治管理办法》（苏环控[97]122号）规定</w:t>
            </w:r>
          </w:p>
        </w:tc>
        <w:tc>
          <w:tcPr>
            <w:tcW w:w="782" w:type="dxa"/>
            <w:textDirection w:val="lrTb"/>
            <w:vAlign w:val="center"/>
          </w:tcPr>
          <w:p>
            <w:pPr>
              <w:jc w:val="center"/>
              <w:rPr>
                <w:rFonts w:hint="eastAsia" w:asciiTheme="minorEastAsia" w:hAnsiTheme="minorEastAsia" w:eastAsiaTheme="minorEastAsia" w:cstheme="minorEastAsia"/>
                <w:sz w:val="18"/>
                <w:szCs w:val="18"/>
              </w:rPr>
            </w:pPr>
            <w:r>
              <w:rPr>
                <w:rFonts w:hint="eastAsia" w:ascii="宋体" w:hAnsi="宋体"/>
                <w:sz w:val="18"/>
                <w:szCs w:val="18"/>
              </w:rPr>
              <w:t>5</w:t>
            </w:r>
          </w:p>
        </w:tc>
        <w:tc>
          <w:tcPr>
            <w:tcW w:w="566" w:type="dxa"/>
            <w:vMerge w:val="continue"/>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textDirection w:val="lrTb"/>
            <w:vAlign w:val="center"/>
          </w:tcPr>
          <w:p>
            <w:pPr>
              <w:spacing w:line="240" w:lineRule="exact"/>
              <w:jc w:val="center"/>
              <w:rPr>
                <w:rFonts w:hint="eastAsia" w:asciiTheme="minorEastAsia" w:hAnsiTheme="minorEastAsia" w:eastAsiaTheme="minorEastAsia" w:cstheme="minorEastAsia"/>
                <w:sz w:val="18"/>
                <w:szCs w:val="18"/>
              </w:rPr>
            </w:pPr>
            <w:r>
              <w:rPr>
                <w:rFonts w:hint="eastAsia" w:ascii="宋体" w:hAnsi="宋体"/>
                <w:spacing w:val="-20"/>
                <w:szCs w:val="21"/>
              </w:rPr>
              <w:t>总量平衡具体方案</w:t>
            </w:r>
          </w:p>
        </w:tc>
        <w:tc>
          <w:tcPr>
            <w:tcW w:w="6651" w:type="dxa"/>
            <w:gridSpan w:val="6"/>
            <w:textDirection w:val="lrTb"/>
            <w:vAlign w:val="center"/>
          </w:tcPr>
          <w:p>
            <w:pPr>
              <w:spacing w:line="240" w:lineRule="exact"/>
              <w:ind w:firstLine="360" w:firstLineChars="200"/>
              <w:rPr>
                <w:rFonts w:hint="eastAsia" w:ascii="宋体" w:hAnsi="宋体"/>
                <w:sz w:val="18"/>
                <w:szCs w:val="18"/>
              </w:rPr>
            </w:pPr>
            <w:r>
              <w:rPr>
                <w:rFonts w:hint="eastAsia" w:ascii="宋体" w:hAnsi="宋体"/>
                <w:sz w:val="18"/>
                <w:szCs w:val="18"/>
              </w:rPr>
              <w:t>废水：纳入丹阳市</w:t>
            </w:r>
            <w:r>
              <w:rPr>
                <w:rFonts w:hint="eastAsia" w:ascii="宋体" w:hAnsi="宋体"/>
                <w:sz w:val="18"/>
                <w:szCs w:val="18"/>
                <w:lang w:val="en-US" w:eastAsia="zh-CN"/>
              </w:rPr>
              <w:t>沃特</w:t>
            </w:r>
            <w:r>
              <w:rPr>
                <w:rFonts w:hint="eastAsia" w:ascii="宋体" w:hAnsi="宋体"/>
                <w:sz w:val="18"/>
                <w:szCs w:val="18"/>
              </w:rPr>
              <w:t>污水处理厂控制，对其接管量进行考核控制，最终外排环境量在丹阳市</w:t>
            </w:r>
            <w:r>
              <w:rPr>
                <w:rFonts w:hint="eastAsia" w:ascii="宋体" w:hAnsi="宋体"/>
                <w:sz w:val="18"/>
                <w:szCs w:val="18"/>
                <w:lang w:val="en-US" w:eastAsia="zh-CN"/>
              </w:rPr>
              <w:t>沃特</w:t>
            </w:r>
            <w:r>
              <w:rPr>
                <w:rFonts w:hint="eastAsia" w:ascii="宋体" w:hAnsi="宋体"/>
                <w:sz w:val="18"/>
                <w:szCs w:val="18"/>
              </w:rPr>
              <w:t>污水处理厂核定总量中平衡解决。</w:t>
            </w:r>
          </w:p>
          <w:p>
            <w:pPr>
              <w:pStyle w:val="13"/>
              <w:spacing w:line="240" w:lineRule="exact"/>
              <w:ind w:left="16" w:leftChars="8" w:firstLine="360" w:firstLineChars="200"/>
              <w:rPr>
                <w:rFonts w:hint="eastAsia" w:ascii="宋体" w:hAnsi="宋体" w:eastAsia="宋体"/>
                <w:sz w:val="18"/>
                <w:szCs w:val="18"/>
              </w:rPr>
            </w:pPr>
            <w:r>
              <w:rPr>
                <w:rFonts w:hint="eastAsia" w:ascii="宋体" w:hAnsi="宋体" w:eastAsia="宋体"/>
                <w:sz w:val="18"/>
                <w:szCs w:val="18"/>
              </w:rPr>
              <w:t>废气：向当地环境保护管理部门申请备案。</w:t>
            </w:r>
          </w:p>
          <w:p>
            <w:pPr>
              <w:ind w:firstLine="360" w:firstLineChars="200"/>
              <w:rPr>
                <w:rFonts w:hint="eastAsia" w:asciiTheme="minorEastAsia" w:hAnsiTheme="minorEastAsia" w:eastAsiaTheme="minorEastAsia" w:cstheme="minorEastAsia"/>
                <w:sz w:val="18"/>
                <w:szCs w:val="18"/>
              </w:rPr>
            </w:pPr>
            <w:r>
              <w:rPr>
                <w:rFonts w:hint="eastAsia" w:ascii="宋体" w:hAnsi="宋体"/>
                <w:sz w:val="18"/>
                <w:szCs w:val="18"/>
              </w:rPr>
              <w:t>固废：零排放。</w:t>
            </w:r>
          </w:p>
        </w:tc>
        <w:tc>
          <w:tcPr>
            <w:tcW w:w="566" w:type="dxa"/>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jc w:val="center"/>
        </w:trPr>
        <w:tc>
          <w:tcPr>
            <w:tcW w:w="1457" w:type="dxa"/>
            <w:textDirection w:val="lrTb"/>
            <w:vAlign w:val="center"/>
          </w:tcPr>
          <w:p>
            <w:pPr>
              <w:spacing w:line="240" w:lineRule="exact"/>
              <w:jc w:val="center"/>
              <w:rPr>
                <w:rFonts w:hint="eastAsia" w:asciiTheme="minorEastAsia" w:hAnsiTheme="minorEastAsia" w:eastAsiaTheme="minorEastAsia" w:cstheme="minorEastAsia"/>
                <w:sz w:val="18"/>
                <w:szCs w:val="18"/>
              </w:rPr>
            </w:pPr>
            <w:r>
              <w:rPr>
                <w:rFonts w:hint="eastAsia" w:ascii="宋体" w:hAnsi="宋体"/>
                <w:spacing w:val="-20"/>
                <w:szCs w:val="21"/>
              </w:rPr>
              <w:t>卫生防护距离设置</w:t>
            </w:r>
          </w:p>
        </w:tc>
        <w:tc>
          <w:tcPr>
            <w:tcW w:w="6651" w:type="dxa"/>
            <w:gridSpan w:val="6"/>
            <w:textDirection w:val="lrTb"/>
            <w:vAlign w:val="center"/>
          </w:tcPr>
          <w:p>
            <w:pPr>
              <w:ind w:firstLine="360" w:firstLineChars="200"/>
              <w:rPr>
                <w:rFonts w:hint="eastAsia" w:asciiTheme="minorEastAsia" w:hAnsiTheme="minorEastAsia" w:eastAsiaTheme="minorEastAsia" w:cstheme="minorEastAsia"/>
                <w:sz w:val="18"/>
                <w:szCs w:val="18"/>
              </w:rPr>
            </w:pPr>
            <w:r>
              <w:rPr>
                <w:rFonts w:hint="eastAsia" w:ascii="宋体" w:hAnsi="宋体"/>
                <w:sz w:val="18"/>
                <w:szCs w:val="18"/>
              </w:rPr>
              <w:t>该项目</w:t>
            </w:r>
            <w:r>
              <w:rPr>
                <w:rFonts w:hint="eastAsia" w:ascii="宋体" w:hAnsi="宋体"/>
                <w:sz w:val="18"/>
                <w:szCs w:val="18"/>
                <w:lang w:val="en-US" w:eastAsia="zh-CN"/>
              </w:rPr>
              <w:t>生产</w:t>
            </w:r>
            <w:r>
              <w:rPr>
                <w:rFonts w:hint="eastAsia" w:ascii="宋体" w:hAnsi="宋体"/>
                <w:sz w:val="18"/>
                <w:szCs w:val="18"/>
              </w:rPr>
              <w:t>车间设置卫生防护距离</w:t>
            </w:r>
            <w:r>
              <w:rPr>
                <w:rFonts w:hint="eastAsia" w:ascii="宋体" w:hAnsi="宋体"/>
                <w:sz w:val="18"/>
                <w:szCs w:val="18"/>
                <w:lang w:val="en-US" w:eastAsia="zh-CN"/>
              </w:rPr>
              <w:t>10</w:t>
            </w:r>
            <w:r>
              <w:rPr>
                <w:rFonts w:hint="eastAsia" w:ascii="宋体" w:hAnsi="宋体"/>
                <w:sz w:val="18"/>
                <w:szCs w:val="18"/>
              </w:rPr>
              <w:t>0m，建设地周围环境条件即可满足相关卫生防护距离设置要求。</w:t>
            </w:r>
          </w:p>
        </w:tc>
        <w:tc>
          <w:tcPr>
            <w:tcW w:w="566" w:type="dxa"/>
            <w:vAlign w:val="center"/>
          </w:tcPr>
          <w:p>
            <w:pPr>
              <w:widowControl/>
              <w:jc w:val="left"/>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3688" w:type="dxa"/>
            <w:gridSpan w:val="3"/>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合计</w:t>
            </w:r>
          </w:p>
        </w:tc>
        <w:tc>
          <w:tcPr>
            <w:tcW w:w="2232" w:type="dxa"/>
            <w:gridSpan w:val="2"/>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406"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782" w:type="dxa"/>
            <w:vAlign w:val="center"/>
          </w:tcPr>
          <w:p>
            <w:pPr>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95</w:t>
            </w:r>
          </w:p>
        </w:tc>
        <w:tc>
          <w:tcPr>
            <w:tcW w:w="566" w:type="dxa"/>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bl>
    <w:p>
      <w:pPr>
        <w:spacing w:line="360" w:lineRule="auto"/>
        <w:ind w:firstLine="560" w:firstLineChars="20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pStyle w:val="29"/>
        <w:spacing w:before="120" w:after="120"/>
        <w:jc w:val="center"/>
        <w:rPr>
          <w:rFonts w:hint="eastAsia" w:asciiTheme="minorEastAsia" w:hAnsiTheme="minorEastAsia" w:eastAsiaTheme="minorEastAsia" w:cstheme="minorEastAsia"/>
        </w:rPr>
      </w:pPr>
      <w:bookmarkStart w:id="107" w:name="_Toc3291"/>
      <w:r>
        <w:rPr>
          <w:rFonts w:hint="eastAsia" w:asciiTheme="minorEastAsia" w:hAnsiTheme="minorEastAsia" w:eastAsiaTheme="minorEastAsia" w:cstheme="minorEastAsia"/>
        </w:rPr>
        <w:t>第12章 污染物总量控制</w:t>
      </w:r>
      <w:bookmarkEnd w:id="107"/>
    </w:p>
    <w:p>
      <w:pPr>
        <w:pStyle w:val="30"/>
        <w:spacing w:before="120" w:after="120"/>
        <w:rPr>
          <w:rFonts w:hint="eastAsia" w:asciiTheme="minorEastAsia" w:hAnsiTheme="minorEastAsia" w:eastAsiaTheme="minorEastAsia" w:cstheme="minorEastAsia"/>
        </w:rPr>
      </w:pPr>
      <w:bookmarkStart w:id="108" w:name="_Toc8431"/>
      <w:r>
        <w:rPr>
          <w:rFonts w:hint="eastAsia" w:asciiTheme="minorEastAsia" w:hAnsiTheme="minorEastAsia" w:eastAsiaTheme="minorEastAsia" w:cstheme="minorEastAsia"/>
        </w:rPr>
        <w:t>12.1 排污总量控制对象</w:t>
      </w:r>
      <w:bookmarkEnd w:id="108"/>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江苏省排放污染物总量控制暂行规定》（省政府38号令），本项目建设必须实施污染物排放总量控制，主要通过对项目建成投入运营后排污总量的核算，确定本项目主要污染物排放总量控制指标，确定项目实施总量控制的项目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大气污染总量控制因子：粉尘、甲醛、烟尘</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非甲烷总烃、SO</w:t>
      </w:r>
      <w:r>
        <w:rPr>
          <w:rFonts w:hint="eastAsia" w:asciiTheme="minorEastAsia" w:hAnsiTheme="minorEastAsia" w:eastAsiaTheme="minorEastAsia" w:cstheme="minorEastAsia"/>
          <w:sz w:val="28"/>
          <w:szCs w:val="28"/>
          <w:vertAlign w:val="subscript"/>
          <w:lang w:val="en-US" w:eastAsia="zh-CN"/>
        </w:rPr>
        <w:t>2</w:t>
      </w:r>
      <w:r>
        <w:rPr>
          <w:rFonts w:hint="eastAsia" w:asciiTheme="minorEastAsia" w:hAnsiTheme="minorEastAsia" w:eastAsiaTheme="minorEastAsia" w:cstheme="minorEastAsia"/>
          <w:sz w:val="28"/>
          <w:szCs w:val="28"/>
          <w:lang w:val="en-US" w:eastAsia="zh-CN"/>
        </w:rPr>
        <w:t>、NO</w:t>
      </w:r>
      <w:r>
        <w:rPr>
          <w:rFonts w:hint="eastAsia" w:asciiTheme="minorEastAsia" w:hAnsiTheme="minorEastAsia" w:eastAsiaTheme="minorEastAsia" w:cstheme="minorEastAsia"/>
          <w:sz w:val="28"/>
          <w:szCs w:val="28"/>
          <w:vertAlign w:val="subscript"/>
          <w:lang w:val="en-US" w:eastAsia="zh-CN"/>
        </w:rPr>
        <w:t>X</w:t>
      </w:r>
      <w:r>
        <w:rPr>
          <w:rFonts w:hint="eastAsia" w:asciiTheme="minorEastAsia" w:hAnsiTheme="minorEastAsia" w:eastAsiaTheme="minorEastAsia" w:cstheme="minorEastAsia"/>
          <w:sz w:val="28"/>
          <w:szCs w:val="28"/>
        </w:rPr>
        <w:t>；</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废水总量控制因子：COD、SS、氨氮、总磷；</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固体废物总量控制因子：工业固体废物。</w:t>
      </w:r>
    </w:p>
    <w:p>
      <w:pPr>
        <w:pStyle w:val="30"/>
        <w:spacing w:before="120" w:after="120"/>
        <w:rPr>
          <w:rFonts w:hint="eastAsia" w:asciiTheme="minorEastAsia" w:hAnsiTheme="minorEastAsia" w:eastAsiaTheme="minorEastAsia" w:cstheme="minorEastAsia"/>
        </w:rPr>
      </w:pPr>
      <w:bookmarkStart w:id="109" w:name="_Toc17271"/>
      <w:r>
        <w:rPr>
          <w:rFonts w:hint="eastAsia" w:asciiTheme="minorEastAsia" w:hAnsiTheme="minorEastAsia" w:eastAsiaTheme="minorEastAsia" w:cstheme="minorEastAsia"/>
        </w:rPr>
        <w:t>12.2 排污总量控制分析</w:t>
      </w:r>
      <w:bookmarkEnd w:id="109"/>
    </w:p>
    <w:p>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表12.2-1  污染物总量控制表</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27"/>
        <w:gridCol w:w="793"/>
        <w:gridCol w:w="851"/>
        <w:gridCol w:w="1418"/>
        <w:gridCol w:w="1367"/>
        <w:gridCol w:w="132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814" w:type="dxa"/>
            <w:vAlign w:val="center"/>
          </w:tcPr>
          <w:p>
            <w:pPr>
              <w:adjustRightInd w:val="0"/>
              <w:snapToGrid w:val="0"/>
              <w:jc w:val="center"/>
              <w:rPr>
                <w:rFonts w:hint="eastAsia" w:cs="Times New Roman" w:eastAsiaTheme="minorEastAsia"/>
                <w:sz w:val="24"/>
                <w:lang w:val="en-US" w:eastAsia="zh-CN"/>
              </w:rPr>
            </w:pPr>
            <w:bookmarkStart w:id="110" w:name="_Toc12999"/>
            <w:r>
              <w:rPr>
                <w:rFonts w:hint="eastAsia" w:cs="Times New Roman" w:eastAsiaTheme="minorEastAsia"/>
                <w:sz w:val="24"/>
                <w:lang w:val="en-US" w:eastAsia="zh-CN"/>
              </w:rPr>
              <w:t>种类</w:t>
            </w: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污染物名称</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产生量</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削减量</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814"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废气</w:t>
            </w:r>
          </w:p>
        </w:tc>
        <w:tc>
          <w:tcPr>
            <w:tcW w:w="627"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有</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组</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织</w:t>
            </w: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粉尘</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1430</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1422.85</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continue"/>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甲醛</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0.68</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continue"/>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非甲烷总烃</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0.16</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continue"/>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烟尘</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211</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189.9</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continue"/>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SO</w:t>
            </w:r>
            <w:r>
              <w:rPr>
                <w:rFonts w:hint="eastAsia" w:cs="Times New Roman" w:eastAsiaTheme="minorEastAsia"/>
                <w:sz w:val="24"/>
                <w:vertAlign w:val="subscript"/>
                <w:lang w:val="en-US" w:eastAsia="zh-CN"/>
              </w:rPr>
              <w:t>2</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9.5</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continue"/>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NO</w:t>
            </w:r>
            <w:r>
              <w:rPr>
                <w:rFonts w:hint="eastAsia" w:cs="Times New Roman" w:eastAsiaTheme="minorEastAsia"/>
                <w:sz w:val="24"/>
                <w:vertAlign w:val="subscript"/>
                <w:lang w:val="en-US" w:eastAsia="zh-CN"/>
              </w:rPr>
              <w:t>X</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5.7</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无组织</w:t>
            </w: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甲醛</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0.0068</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627" w:type="dxa"/>
            <w:vMerge w:val="continue"/>
            <w:vAlign w:val="center"/>
          </w:tcPr>
          <w:p>
            <w:pPr>
              <w:adjustRightInd w:val="0"/>
              <w:snapToGrid w:val="0"/>
              <w:jc w:val="center"/>
              <w:rPr>
                <w:rFonts w:hint="eastAsia" w:cs="Times New Roman" w:eastAsiaTheme="minorEastAsia"/>
                <w:sz w:val="24"/>
                <w:lang w:val="en-US" w:eastAsia="zh-CN"/>
              </w:rPr>
            </w:pPr>
          </w:p>
        </w:tc>
        <w:tc>
          <w:tcPr>
            <w:tcW w:w="1644"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非甲烷总烃</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0.0016</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2658" w:type="dxa"/>
            <w:gridSpan w:val="2"/>
            <w:textDirection w:val="lrTb"/>
            <w:vAlign w:val="center"/>
          </w:tcPr>
          <w:p>
            <w:pPr>
              <w:adjustRightInd w:val="0"/>
              <w:snapToGrid w:val="0"/>
              <w:jc w:val="center"/>
              <w:rPr>
                <w:rFonts w:hint="eastAsia" w:cs="Times New Roman" w:eastAsiaTheme="minorEastAsia"/>
                <w:sz w:val="24"/>
                <w:lang w:val="en-US" w:eastAsia="zh-CN"/>
              </w:rPr>
            </w:pPr>
            <w:r>
              <w:rPr>
                <w:rFonts w:hint="eastAsia"/>
                <w:sz w:val="24"/>
                <w:szCs w:val="24"/>
                <w:lang w:val="en-US" w:eastAsia="zh-CN"/>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 w:hRule="atLeast"/>
          <w:jc w:val="center"/>
        </w:trPr>
        <w:tc>
          <w:tcPr>
            <w:tcW w:w="814"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废水</w:t>
            </w: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接管量</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最终排放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污水量</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3875</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3875</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生活污水</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2592</w:t>
            </w: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COD</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0.91</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0.91</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SS</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1.04</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1.04</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氨氮</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0.065</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0.065</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总磷</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default" w:cs="Times New Roman" w:eastAsiaTheme="minorEastAsia"/>
                <w:sz w:val="24"/>
                <w:lang w:val="en-US" w:eastAsia="zh-CN"/>
              </w:rPr>
              <w:t>0.0</w:t>
            </w:r>
            <w:r>
              <w:rPr>
                <w:rFonts w:hint="eastAsia" w:cs="Times New Roman" w:eastAsiaTheme="minorEastAsia"/>
                <w:sz w:val="24"/>
                <w:lang w:val="en-US" w:eastAsia="zh-CN"/>
              </w:rPr>
              <w:t>21</w:t>
            </w:r>
          </w:p>
        </w:tc>
        <w:tc>
          <w:tcPr>
            <w:tcW w:w="1367"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default" w:cs="Times New Roman" w:eastAsiaTheme="minorEastAsia"/>
                <w:sz w:val="24"/>
                <w:lang w:val="en-US" w:eastAsia="zh-CN"/>
              </w:rPr>
              <w:t>0.0</w:t>
            </w:r>
            <w:r>
              <w:rPr>
                <w:rFonts w:hint="eastAsia" w:cs="Times New Roman" w:eastAsiaTheme="minorEastAsia"/>
                <w:sz w:val="24"/>
                <w:lang w:val="en-US" w:eastAsia="zh-CN"/>
              </w:rPr>
              <w:t>21</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工业废水</w:t>
            </w:r>
          </w:p>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1283</w:t>
            </w: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COD</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0.45</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0.45</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1420" w:type="dxa"/>
            <w:gridSpan w:val="2"/>
            <w:vMerge w:val="continue"/>
            <w:vAlign w:val="center"/>
          </w:tcPr>
          <w:p>
            <w:pPr>
              <w:adjustRightInd w:val="0"/>
              <w:snapToGrid w:val="0"/>
              <w:jc w:val="center"/>
              <w:rPr>
                <w:rFonts w:hint="eastAsia" w:cs="Times New Roman" w:eastAsiaTheme="minorEastAsia"/>
                <w:sz w:val="24"/>
                <w:lang w:val="en-US" w:eastAsia="zh-CN"/>
              </w:rPr>
            </w:pPr>
          </w:p>
        </w:tc>
        <w:tc>
          <w:tcPr>
            <w:tcW w:w="851"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SS</w:t>
            </w:r>
          </w:p>
        </w:tc>
        <w:tc>
          <w:tcPr>
            <w:tcW w:w="1418"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0.51</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c>
          <w:tcPr>
            <w:tcW w:w="1329"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0.51</w:t>
            </w:r>
          </w:p>
        </w:tc>
        <w:tc>
          <w:tcPr>
            <w:tcW w:w="1329"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814" w:type="dxa"/>
            <w:vMerge w:val="restart"/>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固废</w:t>
            </w: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一般工业固废</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9846</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9846</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危险工业固废</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7.6</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7.6</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 w:hRule="atLeast"/>
          <w:jc w:val="center"/>
        </w:trPr>
        <w:tc>
          <w:tcPr>
            <w:tcW w:w="814" w:type="dxa"/>
            <w:vMerge w:val="continue"/>
            <w:vAlign w:val="center"/>
          </w:tcPr>
          <w:p>
            <w:pPr>
              <w:adjustRightInd w:val="0"/>
              <w:snapToGrid w:val="0"/>
              <w:jc w:val="center"/>
              <w:rPr>
                <w:rFonts w:hint="eastAsia" w:cs="Times New Roman" w:eastAsiaTheme="minorEastAsia"/>
                <w:sz w:val="24"/>
                <w:lang w:val="en-US" w:eastAsia="zh-CN"/>
              </w:rPr>
            </w:pPr>
          </w:p>
        </w:tc>
        <w:tc>
          <w:tcPr>
            <w:tcW w:w="2271" w:type="dxa"/>
            <w:gridSpan w:val="3"/>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生活垃圾</w:t>
            </w:r>
          </w:p>
        </w:tc>
        <w:tc>
          <w:tcPr>
            <w:tcW w:w="1418" w:type="dxa"/>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16.2</w:t>
            </w:r>
          </w:p>
        </w:tc>
        <w:tc>
          <w:tcPr>
            <w:tcW w:w="1367" w:type="dxa"/>
            <w:textDirection w:val="lrTb"/>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16.2</w:t>
            </w:r>
          </w:p>
        </w:tc>
        <w:tc>
          <w:tcPr>
            <w:tcW w:w="2658" w:type="dxa"/>
            <w:gridSpan w:val="2"/>
            <w:vAlign w:val="center"/>
          </w:tcPr>
          <w:p>
            <w:pPr>
              <w:adjustRightInd w:val="0"/>
              <w:snapToGrid w:val="0"/>
              <w:jc w:val="center"/>
              <w:rPr>
                <w:rFonts w:hint="eastAsia" w:cs="Times New Roman" w:eastAsiaTheme="minorEastAsia"/>
                <w:sz w:val="24"/>
                <w:lang w:val="en-US" w:eastAsia="zh-CN"/>
              </w:rPr>
            </w:pPr>
            <w:r>
              <w:rPr>
                <w:rFonts w:hint="eastAsia" w:cs="Times New Roman" w:eastAsiaTheme="minorEastAsia"/>
                <w:sz w:val="24"/>
                <w:lang w:val="en-US" w:eastAsia="zh-CN"/>
              </w:rPr>
              <w:t>0</w:t>
            </w:r>
          </w:p>
        </w:tc>
      </w:tr>
    </w:tbl>
    <w:p>
      <w:pPr>
        <w:pStyle w:val="30"/>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12.3 总量平衡途径</w:t>
      </w:r>
      <w:bookmarkEnd w:id="11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（1）大气污染物排放总量</w:t>
      </w:r>
    </w:p>
    <w:p>
      <w:pPr>
        <w:spacing w:line="360" w:lineRule="auto"/>
        <w:ind w:firstLine="560" w:firstLineChars="200"/>
        <w:rPr>
          <w:rFonts w:hint="eastAsia" w:cs="Times New Roman" w:eastAsiaTheme="minorEastAsia"/>
          <w:sz w:val="28"/>
          <w:szCs w:val="28"/>
          <w:lang w:val="en-US" w:eastAsia="zh-CN"/>
        </w:rPr>
      </w:pPr>
      <w:r>
        <w:rPr>
          <w:rFonts w:hint="eastAsia" w:cs="Times New Roman" w:eastAsiaTheme="minorEastAsia"/>
          <w:sz w:val="28"/>
          <w:szCs w:val="28"/>
          <w:lang w:val="en-US" w:eastAsia="zh-CN"/>
        </w:rPr>
        <w:t>建设项目有组织排放大气污染物粉尘7.15t/a、甲醛0.68t/a，烟尘21.1t/a，SO</w:t>
      </w:r>
      <w:r>
        <w:rPr>
          <w:rFonts w:hint="eastAsia" w:cs="Times New Roman" w:eastAsiaTheme="minorEastAsia"/>
          <w:sz w:val="28"/>
          <w:szCs w:val="28"/>
          <w:vertAlign w:val="subscript"/>
          <w:lang w:val="en-US" w:eastAsia="zh-CN"/>
        </w:rPr>
        <w:t>2</w:t>
      </w:r>
      <w:r>
        <w:rPr>
          <w:rFonts w:hint="eastAsia" w:cs="Times New Roman" w:eastAsiaTheme="minorEastAsia"/>
          <w:sz w:val="28"/>
          <w:szCs w:val="28"/>
          <w:lang w:val="en-US" w:eastAsia="zh-CN"/>
        </w:rPr>
        <w:t>9.5t/a</w:t>
      </w:r>
      <w:r>
        <w:rPr>
          <w:rFonts w:hint="eastAsia" w:asciiTheme="minorEastAsia" w:hAnsiTheme="minorEastAsia" w:eastAsiaTheme="minorEastAsia" w:cstheme="minorEastAsia"/>
          <w:sz w:val="28"/>
          <w:szCs w:val="28"/>
          <w:lang w:val="en-US" w:eastAsia="zh-CN"/>
        </w:rPr>
        <w:t>,</w:t>
      </w:r>
      <w:r>
        <w:rPr>
          <w:rFonts w:hint="eastAsia" w:cs="Times New Roman" w:eastAsiaTheme="minorEastAsia"/>
          <w:sz w:val="28"/>
          <w:szCs w:val="28"/>
          <w:lang w:val="en-US" w:eastAsia="zh-CN"/>
        </w:rPr>
        <w:t>NO</w:t>
      </w:r>
      <w:r>
        <w:rPr>
          <w:rFonts w:hint="eastAsia" w:cs="Times New Roman" w:eastAsiaTheme="minorEastAsia"/>
          <w:sz w:val="28"/>
          <w:szCs w:val="28"/>
          <w:vertAlign w:val="subscript"/>
          <w:lang w:val="en-US" w:eastAsia="zh-CN"/>
        </w:rPr>
        <w:t>X</w:t>
      </w:r>
      <w:r>
        <w:rPr>
          <w:rFonts w:hint="eastAsia" w:cs="Times New Roman" w:eastAsiaTheme="minorEastAsia"/>
          <w:sz w:val="28"/>
          <w:szCs w:val="28"/>
          <w:lang w:val="en-US" w:eastAsia="zh-CN"/>
        </w:rPr>
        <w:t>5.7t/a</w:t>
      </w:r>
      <w:r>
        <w:rPr>
          <w:rFonts w:hint="eastAsia" w:asciiTheme="minorEastAsia" w:hAnsiTheme="minorEastAsia" w:eastAsiaTheme="minorEastAsia" w:cstheme="minorEastAsia"/>
          <w:sz w:val="28"/>
          <w:szCs w:val="28"/>
          <w:lang w:val="en-US" w:eastAsia="zh-CN"/>
        </w:rPr>
        <w:t>,</w:t>
      </w:r>
      <w:r>
        <w:rPr>
          <w:rFonts w:hint="eastAsia" w:cs="Times New Roman" w:eastAsiaTheme="minorEastAsia"/>
          <w:sz w:val="28"/>
          <w:szCs w:val="28"/>
          <w:lang w:val="en-US" w:eastAsia="zh-CN"/>
        </w:rPr>
        <w:t>非甲烷总烃0.16t/a</w:t>
      </w:r>
      <w:r>
        <w:rPr>
          <w:rFonts w:hint="eastAsia" w:asciiTheme="minorEastAsia" w:hAnsiTheme="minorEastAsia" w:eastAsiaTheme="minorEastAsia" w:cstheme="minorEastAsia"/>
          <w:sz w:val="28"/>
          <w:szCs w:val="28"/>
          <w:lang w:val="en-US" w:eastAsia="zh-CN"/>
        </w:rPr>
        <w:t>,</w:t>
      </w:r>
      <w:r>
        <w:rPr>
          <w:rFonts w:hint="default" w:cs="Times New Roman" w:eastAsiaTheme="minorEastAsia"/>
          <w:sz w:val="28"/>
          <w:szCs w:val="28"/>
          <w:lang w:val="en-US" w:eastAsia="zh-CN"/>
        </w:rPr>
        <w:t>可在丹阳市开发区范围内平衡解决，由丹阳市环保局核拨</w:t>
      </w:r>
      <w:r>
        <w:rPr>
          <w:rFonts w:hint="eastAsia" w:cs="Times New Roman" w:eastAsiaTheme="minorEastAsia"/>
          <w:sz w:val="28"/>
          <w:szCs w:val="28"/>
          <w:lang w:val="en-US" w:eastAsia="zh-CN"/>
        </w:rPr>
        <w:t>；无组织排放甲醛0.0068t/a，非甲烷总烃0.0016t/a作为考核指标，报丹阳市环保局备案。</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（2）水污染物排放总量</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该项目正常营运期间，全厂生活污水及其污染物排放总量纳入丹阳市</w:t>
      </w:r>
      <w:r>
        <w:rPr>
          <w:rFonts w:hint="eastAsia" w:asciiTheme="minorEastAsia" w:hAnsiTheme="minorEastAsia" w:eastAsiaTheme="minorEastAsia" w:cstheme="minorEastAsia"/>
          <w:sz w:val="28"/>
          <w:szCs w:val="28"/>
          <w:lang w:val="en-US" w:eastAsia="zh-CN"/>
        </w:rPr>
        <w:t>沃特</w:t>
      </w:r>
      <w:r>
        <w:rPr>
          <w:rFonts w:hint="eastAsia" w:asciiTheme="minorEastAsia" w:hAnsiTheme="minorEastAsia" w:eastAsiaTheme="minorEastAsia" w:cstheme="minorEastAsia"/>
          <w:sz w:val="28"/>
          <w:szCs w:val="28"/>
        </w:rPr>
        <w:t>污水处理厂统一控制，在丹阳市导墅污水处理厂排放总量中平衡。</w:t>
      </w:r>
    </w:p>
    <w:p>
      <w:pPr>
        <w:spacing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接管量：废水量</w:t>
      </w:r>
      <w:r>
        <w:rPr>
          <w:rFonts w:hint="default" w:ascii="Times New Roman" w:hAnsi="Times New Roman" w:cs="Times New Roman" w:eastAsiaTheme="minorEastAsia"/>
          <w:sz w:val="28"/>
          <w:szCs w:val="28"/>
          <w:lang w:val="en-US" w:eastAsia="zh-CN"/>
        </w:rPr>
        <w:t>3875</w:t>
      </w:r>
      <w:r>
        <w:rPr>
          <w:rFonts w:hint="default" w:ascii="Times New Roman" w:hAnsi="Times New Roman" w:cs="Times New Roman" w:eastAsiaTheme="minorEastAsia"/>
          <w:sz w:val="28"/>
          <w:szCs w:val="28"/>
        </w:rPr>
        <w:t>m</w:t>
      </w:r>
      <w:r>
        <w:rPr>
          <w:rFonts w:hint="default" w:ascii="Times New Roman" w:hAnsi="Times New Roman" w:cs="Times New Roman" w:eastAsiaTheme="minorEastAsia"/>
          <w:sz w:val="28"/>
          <w:szCs w:val="28"/>
          <w:vertAlign w:val="superscript"/>
        </w:rPr>
        <w:t>3</w:t>
      </w:r>
      <w:r>
        <w:rPr>
          <w:rFonts w:hint="default" w:ascii="Times New Roman" w:hAnsi="Times New Roman" w:cs="Times New Roman" w:eastAsiaTheme="minorEastAsia"/>
          <w:sz w:val="28"/>
          <w:szCs w:val="28"/>
        </w:rPr>
        <w:t>/a、COD</w:t>
      </w:r>
      <w:r>
        <w:rPr>
          <w:rFonts w:hint="default" w:ascii="Times New Roman" w:hAnsi="Times New Roman" w:cs="Times New Roman" w:eastAsiaTheme="minorEastAsia"/>
          <w:sz w:val="28"/>
          <w:szCs w:val="28"/>
          <w:lang w:val="en-US" w:eastAsia="zh-CN"/>
        </w:rPr>
        <w:t>1.36</w:t>
      </w:r>
      <w:r>
        <w:rPr>
          <w:rFonts w:hint="default" w:ascii="Times New Roman" w:hAnsi="Times New Roman" w:cs="Times New Roman" w:eastAsiaTheme="minorEastAsia"/>
          <w:sz w:val="28"/>
          <w:szCs w:val="28"/>
        </w:rPr>
        <w:t>t/a、SS</w:t>
      </w:r>
      <w:r>
        <w:rPr>
          <w:rFonts w:hint="default" w:ascii="Times New Roman" w:hAnsi="Times New Roman" w:cs="Times New Roman" w:eastAsiaTheme="minorEastAsia"/>
          <w:sz w:val="28"/>
          <w:szCs w:val="28"/>
          <w:lang w:val="en-US" w:eastAsia="zh-CN"/>
        </w:rPr>
        <w:t>1.55</w:t>
      </w:r>
      <w:r>
        <w:rPr>
          <w:rFonts w:hint="default" w:ascii="Times New Roman" w:hAnsi="Times New Roman" w:cs="Times New Roman" w:eastAsiaTheme="minorEastAsia"/>
          <w:sz w:val="28"/>
          <w:szCs w:val="28"/>
        </w:rPr>
        <w:t>t/a、氨氮0.</w:t>
      </w:r>
      <w:r>
        <w:rPr>
          <w:rFonts w:hint="default" w:ascii="Times New Roman" w:hAnsi="Times New Roman" w:cs="Times New Roman" w:eastAsiaTheme="minorEastAsia"/>
          <w:sz w:val="28"/>
          <w:szCs w:val="28"/>
          <w:lang w:val="en-US" w:eastAsia="zh-CN"/>
        </w:rPr>
        <w:t>0</w:t>
      </w:r>
      <w:r>
        <w:rPr>
          <w:rFonts w:hint="eastAsia" w:cs="Times New Roman" w:eastAsiaTheme="minorEastAsia"/>
          <w:sz w:val="28"/>
          <w:szCs w:val="28"/>
          <w:lang w:val="en-US" w:eastAsia="zh-CN"/>
        </w:rPr>
        <w:t>65</w:t>
      </w:r>
      <w:r>
        <w:rPr>
          <w:rFonts w:hint="default" w:ascii="Times New Roman" w:hAnsi="Times New Roman" w:cs="Times New Roman" w:eastAsiaTheme="minorEastAsia"/>
          <w:sz w:val="28"/>
          <w:szCs w:val="28"/>
        </w:rPr>
        <w:t>t/a、总磷0.0</w:t>
      </w:r>
      <w:r>
        <w:rPr>
          <w:rFonts w:hint="eastAsia" w:cs="Times New Roman" w:eastAsiaTheme="minorEastAsia"/>
          <w:sz w:val="28"/>
          <w:szCs w:val="28"/>
          <w:lang w:val="en-US" w:eastAsia="zh-CN"/>
        </w:rPr>
        <w:t>2</w:t>
      </w:r>
      <w:r>
        <w:rPr>
          <w:rFonts w:hint="default" w:ascii="Times New Roman" w:hAnsi="Times New Roman" w:cs="Times New Roman" w:eastAsiaTheme="minorEastAsia"/>
          <w:sz w:val="28"/>
          <w:szCs w:val="28"/>
          <w:lang w:val="en-US" w:eastAsia="zh-CN"/>
        </w:rPr>
        <w:t>1</w:t>
      </w:r>
      <w:r>
        <w:rPr>
          <w:rFonts w:hint="default" w:ascii="Times New Roman" w:hAnsi="Times New Roman" w:cs="Times New Roman" w:eastAsiaTheme="minorEastAsia"/>
          <w:sz w:val="28"/>
          <w:szCs w:val="28"/>
        </w:rPr>
        <w:t>t/a；</w:t>
      </w:r>
    </w:p>
    <w:p>
      <w:pPr>
        <w:spacing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最终外排环境量：废水量</w:t>
      </w:r>
      <w:r>
        <w:rPr>
          <w:rFonts w:hint="default" w:ascii="Times New Roman" w:hAnsi="Times New Roman" w:cs="Times New Roman" w:eastAsiaTheme="minorEastAsia"/>
          <w:sz w:val="28"/>
          <w:szCs w:val="28"/>
          <w:lang w:val="en-US" w:eastAsia="zh-CN"/>
        </w:rPr>
        <w:t>3875</w:t>
      </w:r>
      <w:r>
        <w:rPr>
          <w:rFonts w:hint="default" w:ascii="Times New Roman" w:hAnsi="Times New Roman" w:cs="Times New Roman" w:eastAsiaTheme="minorEastAsia"/>
          <w:sz w:val="28"/>
          <w:szCs w:val="28"/>
        </w:rPr>
        <w:t>m</w:t>
      </w:r>
      <w:r>
        <w:rPr>
          <w:rFonts w:hint="default" w:ascii="Times New Roman" w:hAnsi="Times New Roman" w:cs="Times New Roman" w:eastAsiaTheme="minorEastAsia"/>
          <w:sz w:val="28"/>
          <w:szCs w:val="28"/>
          <w:vertAlign w:val="superscript"/>
        </w:rPr>
        <w:t>3</w:t>
      </w:r>
      <w:r>
        <w:rPr>
          <w:rFonts w:hint="default" w:ascii="Times New Roman" w:hAnsi="Times New Roman" w:cs="Times New Roman" w:eastAsiaTheme="minorEastAsia"/>
          <w:sz w:val="28"/>
          <w:szCs w:val="28"/>
        </w:rPr>
        <w:t>/a、COD</w:t>
      </w:r>
      <w:r>
        <w:rPr>
          <w:rFonts w:hint="default" w:ascii="Times New Roman" w:hAnsi="Times New Roman" w:cs="Times New Roman" w:eastAsiaTheme="minorEastAsia"/>
          <w:sz w:val="28"/>
          <w:szCs w:val="28"/>
          <w:lang w:val="en-US" w:eastAsia="zh-CN"/>
        </w:rPr>
        <w:t>0.19</w:t>
      </w:r>
      <w:r>
        <w:rPr>
          <w:rFonts w:hint="default" w:ascii="Times New Roman" w:hAnsi="Times New Roman" w:cs="Times New Roman" w:eastAsiaTheme="minorEastAsia"/>
          <w:sz w:val="28"/>
          <w:szCs w:val="28"/>
        </w:rPr>
        <w:t>t/a、SS0.</w:t>
      </w:r>
      <w:r>
        <w:rPr>
          <w:rFonts w:hint="default" w:ascii="Times New Roman" w:hAnsi="Times New Roman" w:cs="Times New Roman" w:eastAsiaTheme="minorEastAsia"/>
          <w:sz w:val="28"/>
          <w:szCs w:val="28"/>
          <w:lang w:val="en-US" w:eastAsia="zh-CN"/>
        </w:rPr>
        <w:t>039</w:t>
      </w:r>
      <w:r>
        <w:rPr>
          <w:rFonts w:hint="default" w:ascii="Times New Roman" w:hAnsi="Times New Roman" w:cs="Times New Roman" w:eastAsiaTheme="minorEastAsia"/>
          <w:sz w:val="28"/>
          <w:szCs w:val="28"/>
        </w:rPr>
        <w:t>t/a、氨氮0.0</w:t>
      </w:r>
      <w:r>
        <w:rPr>
          <w:rFonts w:hint="default" w:ascii="Times New Roman" w:hAnsi="Times New Roman" w:cs="Times New Roman" w:eastAsiaTheme="minorEastAsia"/>
          <w:sz w:val="28"/>
          <w:szCs w:val="28"/>
          <w:lang w:val="en-US" w:eastAsia="zh-CN"/>
        </w:rPr>
        <w:t>1</w:t>
      </w:r>
      <w:r>
        <w:rPr>
          <w:rFonts w:hint="eastAsia" w:cs="Times New Roman" w:eastAsiaTheme="minorEastAsia"/>
          <w:sz w:val="28"/>
          <w:szCs w:val="28"/>
          <w:lang w:val="en-US" w:eastAsia="zh-CN"/>
        </w:rPr>
        <w:t>3</w:t>
      </w:r>
      <w:r>
        <w:rPr>
          <w:rFonts w:hint="default" w:ascii="Times New Roman" w:hAnsi="Times New Roman" w:cs="Times New Roman" w:eastAsiaTheme="minorEastAsia"/>
          <w:sz w:val="28"/>
          <w:szCs w:val="28"/>
        </w:rPr>
        <w:t>t/a、总磷0.00</w:t>
      </w:r>
      <w:r>
        <w:rPr>
          <w:rFonts w:hint="default" w:ascii="Times New Roman" w:hAnsi="Times New Roman" w:cs="Times New Roman" w:eastAsiaTheme="minorEastAsia"/>
          <w:sz w:val="28"/>
          <w:szCs w:val="28"/>
          <w:lang w:val="en-US" w:eastAsia="zh-CN"/>
        </w:rPr>
        <w:t>1</w:t>
      </w:r>
      <w:r>
        <w:rPr>
          <w:rFonts w:hint="eastAsia" w:cs="Times New Roman" w:eastAsiaTheme="minorEastAsia"/>
          <w:sz w:val="28"/>
          <w:szCs w:val="28"/>
          <w:lang w:val="en-US" w:eastAsia="zh-CN"/>
        </w:rPr>
        <w:t>3</w:t>
      </w:r>
      <w:r>
        <w:rPr>
          <w:rFonts w:hint="default" w:ascii="Times New Roman" w:hAnsi="Times New Roman" w:cs="Times New Roman" w:eastAsiaTheme="minorEastAsia"/>
          <w:sz w:val="28"/>
          <w:szCs w:val="28"/>
        </w:rPr>
        <w:t>t/a</w:t>
      </w:r>
      <w:r>
        <w:rPr>
          <w:rFonts w:hint="default" w:ascii="Times New Roman" w:hAnsi="Times New Roman" w:cs="Times New Roman" w:eastAsiaTheme="minorEastAsia"/>
          <w:sz w:val="28"/>
          <w:szCs w:val="28"/>
          <w:lang w:eastAsia="zh-CN"/>
        </w:rPr>
        <w:t>。</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（3）工业固体废弃物排放总量</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建设项目固体废弃物产生量均得到相应的处理处置，工业固体废弃物排放量为零。</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pStyle w:val="29"/>
        <w:spacing w:before="120" w:after="120"/>
        <w:jc w:val="center"/>
        <w:rPr>
          <w:rFonts w:hint="eastAsia" w:asciiTheme="minorEastAsia" w:hAnsiTheme="minorEastAsia" w:eastAsiaTheme="minorEastAsia" w:cstheme="minorEastAsia"/>
        </w:rPr>
      </w:pPr>
      <w:bookmarkStart w:id="111" w:name="_Toc18065"/>
      <w:r>
        <w:rPr>
          <w:rFonts w:hint="eastAsia" w:asciiTheme="minorEastAsia" w:hAnsiTheme="minorEastAsia" w:eastAsiaTheme="minorEastAsia" w:cstheme="minorEastAsia"/>
        </w:rPr>
        <w:t>第13章 环境管理及检测计划</w:t>
      </w:r>
      <w:bookmarkEnd w:id="111"/>
    </w:p>
    <w:p>
      <w:pPr>
        <w:pStyle w:val="30"/>
        <w:spacing w:before="120" w:after="120"/>
        <w:rPr>
          <w:rFonts w:hint="eastAsia" w:asciiTheme="minorEastAsia" w:hAnsiTheme="minorEastAsia" w:eastAsiaTheme="minorEastAsia" w:cstheme="minorEastAsia"/>
        </w:rPr>
      </w:pPr>
      <w:bookmarkStart w:id="112" w:name="_Toc29361"/>
      <w:r>
        <w:rPr>
          <w:rFonts w:hint="eastAsia" w:asciiTheme="minorEastAsia" w:hAnsiTheme="minorEastAsia" w:eastAsiaTheme="minorEastAsia" w:cstheme="minorEastAsia"/>
        </w:rPr>
        <w:t>13.1 环境管理及环境监测制度现状调查</w:t>
      </w:r>
      <w:bookmarkEnd w:id="112"/>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13.1.1排污费缴纳情况</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根据《排污费征收使用管理条例》中相关内容，直接向环境外排污染物的单位和个体工商户应缴纳排污费。</w:t>
      </w:r>
      <w:r>
        <w:rPr>
          <w:rFonts w:hint="eastAsia" w:asciiTheme="minorEastAsia" w:hAnsiTheme="minorEastAsia" w:eastAsiaTheme="minorEastAsia" w:cstheme="minorEastAsia"/>
          <w:sz w:val="28"/>
          <w:szCs w:val="28"/>
          <w:lang w:val="en-US" w:eastAsia="zh-CN"/>
        </w:rPr>
        <w:t>因此</w:t>
      </w:r>
      <w:r>
        <w:rPr>
          <w:rFonts w:hint="eastAsia" w:asciiTheme="minorEastAsia" w:hAnsiTheme="minorEastAsia" w:eastAsiaTheme="minorEastAsia" w:cstheme="minorEastAsia"/>
          <w:sz w:val="28"/>
          <w:szCs w:val="28"/>
        </w:rPr>
        <w:t>企业在以后的运行过程中需严格按照相关法律法规以及排污费收费标准及时向丹阳市环保局缴纳排污费。</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13.1.2环境管理体系、机构及制度情况</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公司自成立以来，就非常重视环保问题，并制定符合企业本身的环境保护的规章制度，使全体员工都参与环境保护工作。</w:t>
      </w:r>
    </w:p>
    <w:p>
      <w:pPr>
        <w:pStyle w:val="32"/>
        <w:spacing w:before="120" w:after="120"/>
        <w:rPr>
          <w:rFonts w:hint="eastAsia" w:asciiTheme="minorEastAsia" w:hAnsiTheme="minorEastAsia" w:eastAsiaTheme="minorEastAsia" w:cstheme="minorEastAsia"/>
        </w:rPr>
      </w:pPr>
      <w:r>
        <w:rPr>
          <w:rFonts w:hint="eastAsia" w:asciiTheme="minorEastAsia" w:hAnsiTheme="minorEastAsia" w:eastAsiaTheme="minorEastAsia" w:cstheme="minorEastAsia"/>
        </w:rPr>
        <w:t>13.1.3日常环境监测计划</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参考江苏省环境咨询中心发布的《关于环评文件（报告书）中环境监测内容的要求》，公司制定了环境监测制度，具体如下：</w:t>
      </w:r>
    </w:p>
    <w:p>
      <w:pPr>
        <w:spacing w:line="360" w:lineRule="auto"/>
        <w:jc w:val="center"/>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表13.1-1 公司污染源环境监测计划</w:t>
      </w: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40"/>
        <w:gridCol w:w="1214"/>
        <w:gridCol w:w="2912"/>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类别</w:t>
            </w:r>
          </w:p>
        </w:tc>
        <w:tc>
          <w:tcPr>
            <w:tcW w:w="2140"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监测位置</w:t>
            </w:r>
          </w:p>
        </w:tc>
        <w:tc>
          <w:tcPr>
            <w:tcW w:w="121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监测点数</w:t>
            </w:r>
          </w:p>
        </w:tc>
        <w:tc>
          <w:tcPr>
            <w:tcW w:w="2912"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监测项目</w:t>
            </w:r>
          </w:p>
        </w:tc>
        <w:tc>
          <w:tcPr>
            <w:tcW w:w="147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废气</w:t>
            </w:r>
          </w:p>
        </w:tc>
        <w:tc>
          <w:tcPr>
            <w:tcW w:w="2140"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废气集中排气筒</w:t>
            </w:r>
          </w:p>
        </w:tc>
        <w:tc>
          <w:tcPr>
            <w:tcW w:w="1214" w:type="dxa"/>
            <w:vAlign w:val="center"/>
          </w:tcPr>
          <w:p>
            <w:pPr>
              <w:jc w:val="cente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val="en-US" w:eastAsia="zh-CN"/>
              </w:rPr>
              <w:t>6</w:t>
            </w:r>
          </w:p>
        </w:tc>
        <w:tc>
          <w:tcPr>
            <w:tcW w:w="2912"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颗粒物</w:t>
            </w:r>
            <w:r>
              <w:rPr>
                <w:rFonts w:hint="eastAsia" w:asciiTheme="minorEastAsia" w:hAnsiTheme="minorEastAsia" w:eastAsiaTheme="minorEastAsia" w:cstheme="minorEastAsia"/>
                <w:color w:val="auto"/>
                <w:sz w:val="24"/>
              </w:rPr>
              <w:t>、甲醛</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非甲烷总烃、SO</w:t>
            </w:r>
            <w:r>
              <w:rPr>
                <w:rFonts w:hint="eastAsia" w:asciiTheme="minorEastAsia" w:hAnsiTheme="minorEastAsia" w:eastAsiaTheme="minorEastAsia" w:cstheme="minorEastAsia"/>
                <w:color w:val="auto"/>
                <w:sz w:val="24"/>
                <w:vertAlign w:val="subscript"/>
                <w:lang w:val="en-US" w:eastAsia="zh-CN"/>
              </w:rPr>
              <w:t>2</w:t>
            </w:r>
            <w:r>
              <w:rPr>
                <w:rFonts w:hint="eastAsia" w:asciiTheme="minorEastAsia" w:hAnsiTheme="minorEastAsia" w:eastAsiaTheme="minorEastAsia" w:cstheme="minorEastAsia"/>
                <w:color w:val="auto"/>
                <w:sz w:val="24"/>
                <w:lang w:val="en-US" w:eastAsia="zh-CN"/>
              </w:rPr>
              <w:t>、NO</w:t>
            </w:r>
            <w:r>
              <w:rPr>
                <w:rFonts w:hint="eastAsia" w:asciiTheme="minorEastAsia" w:hAnsiTheme="minorEastAsia" w:eastAsiaTheme="minorEastAsia" w:cstheme="minorEastAsia"/>
                <w:color w:val="auto"/>
                <w:sz w:val="24"/>
                <w:vertAlign w:val="subscript"/>
                <w:lang w:val="en-US" w:eastAsia="zh-CN"/>
              </w:rPr>
              <w:t>X</w:t>
            </w:r>
          </w:p>
        </w:tc>
        <w:tc>
          <w:tcPr>
            <w:tcW w:w="147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废水</w:t>
            </w:r>
          </w:p>
        </w:tc>
        <w:tc>
          <w:tcPr>
            <w:tcW w:w="2140"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污水总排口</w:t>
            </w:r>
          </w:p>
        </w:tc>
        <w:tc>
          <w:tcPr>
            <w:tcW w:w="121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p>
        </w:tc>
        <w:tc>
          <w:tcPr>
            <w:tcW w:w="2912"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pH、COD、SS、氨氮、总磷、</w:t>
            </w:r>
          </w:p>
        </w:tc>
        <w:tc>
          <w:tcPr>
            <w:tcW w:w="147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8"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噪声</w:t>
            </w:r>
          </w:p>
        </w:tc>
        <w:tc>
          <w:tcPr>
            <w:tcW w:w="2140"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厂界外1m</w:t>
            </w:r>
          </w:p>
        </w:tc>
        <w:tc>
          <w:tcPr>
            <w:tcW w:w="121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p>
        </w:tc>
        <w:tc>
          <w:tcPr>
            <w:tcW w:w="2912"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rPr>
              <w:t>连续等效A 声级</w:t>
            </w:r>
          </w:p>
        </w:tc>
        <w:tc>
          <w:tcPr>
            <w:tcW w:w="1474" w:type="dxa"/>
            <w:vAlign w:val="center"/>
          </w:tcPr>
          <w:p>
            <w:pPr>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每年一次</w:t>
            </w:r>
          </w:p>
        </w:tc>
      </w:tr>
    </w:tbl>
    <w:p>
      <w:pPr>
        <w:pStyle w:val="30"/>
        <w:spacing w:before="120" w:after="120"/>
        <w:rPr>
          <w:rFonts w:hint="eastAsia" w:asciiTheme="minorEastAsia" w:hAnsiTheme="minorEastAsia" w:eastAsiaTheme="minorEastAsia" w:cstheme="minorEastAsia"/>
        </w:rPr>
      </w:pPr>
      <w:bookmarkStart w:id="113" w:name="_Toc20936"/>
      <w:r>
        <w:rPr>
          <w:rFonts w:hint="eastAsia" w:asciiTheme="minorEastAsia" w:hAnsiTheme="minorEastAsia" w:eastAsiaTheme="minorEastAsia" w:cstheme="minorEastAsia"/>
        </w:rPr>
        <w:t>13.2 存在的问题</w:t>
      </w:r>
      <w:bookmarkEnd w:id="113"/>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建设单位应加强厂区绿化工程建设，减少无组织废气排放。</w:t>
      </w:r>
    </w:p>
    <w:p>
      <w:pPr>
        <w:pStyle w:val="30"/>
        <w:spacing w:before="120" w:after="120"/>
        <w:rPr>
          <w:rFonts w:hint="eastAsia" w:asciiTheme="minorEastAsia" w:hAnsiTheme="minorEastAsia" w:eastAsiaTheme="minorEastAsia" w:cstheme="minorEastAsia"/>
        </w:rPr>
      </w:pPr>
      <w:bookmarkStart w:id="114" w:name="_Toc31823"/>
      <w:r>
        <w:rPr>
          <w:rFonts w:hint="eastAsia" w:asciiTheme="minorEastAsia" w:hAnsiTheme="minorEastAsia" w:eastAsiaTheme="minorEastAsia" w:cstheme="minorEastAsia"/>
        </w:rPr>
        <w:t>13.3 环境管理及环境监测制度改进措施</w:t>
      </w:r>
      <w:bookmarkEnd w:id="114"/>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公司要进一步加强环保管理，确保环境监测计划的有效落实；并与丹阳市环保局形成有效的相辅相成管理体系，如有相关的环保投诉，应积极应对、有效处理。</w:t>
      </w:r>
    </w:p>
    <w:p>
      <w:pPr>
        <w:spacing w:line="360" w:lineRule="auto"/>
        <w:ind w:firstLine="560" w:firstLineChars="200"/>
        <w:rPr>
          <w:rFonts w:hint="eastAsia" w:asciiTheme="minorEastAsia" w:hAnsiTheme="minorEastAsia" w:eastAsiaTheme="minorEastAsia" w:cstheme="minorEastAsia"/>
          <w:sz w:val="28"/>
          <w:szCs w:val="28"/>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29"/>
        <w:spacing w:before="120" w:after="120"/>
        <w:jc w:val="center"/>
        <w:rPr>
          <w:rFonts w:hint="eastAsia" w:asciiTheme="minorEastAsia" w:hAnsiTheme="minorEastAsia" w:eastAsiaTheme="minorEastAsia" w:cstheme="minorEastAsia"/>
        </w:rPr>
      </w:pPr>
      <w:bookmarkStart w:id="115" w:name="_Toc3783"/>
      <w:bookmarkStart w:id="116" w:name="_Toc457545457"/>
      <w:bookmarkStart w:id="117" w:name="_Toc466548280"/>
      <w:r>
        <w:rPr>
          <w:rFonts w:hint="eastAsia" w:asciiTheme="minorEastAsia" w:hAnsiTheme="minorEastAsia" w:eastAsiaTheme="minorEastAsia" w:cstheme="minorEastAsia"/>
        </w:rPr>
        <w:t>第14章   其它</w:t>
      </w:r>
      <w:bookmarkEnd w:id="115"/>
      <w:bookmarkEnd w:id="116"/>
      <w:bookmarkEnd w:id="117"/>
    </w:p>
    <w:p>
      <w:pPr>
        <w:pStyle w:val="30"/>
        <w:spacing w:before="120" w:after="120"/>
        <w:rPr>
          <w:rFonts w:hint="eastAsia" w:asciiTheme="minorEastAsia" w:hAnsiTheme="minorEastAsia" w:eastAsiaTheme="minorEastAsia" w:cstheme="minorEastAsia"/>
        </w:rPr>
      </w:pPr>
      <w:bookmarkStart w:id="118" w:name="_Toc9446"/>
      <w:bookmarkStart w:id="119" w:name="_Toc466548281"/>
      <w:bookmarkStart w:id="120" w:name="_Toc457545458"/>
      <w:r>
        <w:rPr>
          <w:rFonts w:hint="eastAsia" w:asciiTheme="minorEastAsia" w:hAnsiTheme="minorEastAsia" w:eastAsiaTheme="minorEastAsia" w:cstheme="minorEastAsia"/>
        </w:rPr>
        <w:t>14.1厂址选择合理性分析及改进措施</w:t>
      </w:r>
      <w:bookmarkEnd w:id="118"/>
      <w:bookmarkEnd w:id="119"/>
      <w:bookmarkEnd w:id="120"/>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该项目附近区域空气环境、地表水环境、声环境质量良好，具有一定的环境容量。该项目正常营运期间，对周围环境各要素影响甚微。该项目符合《太湖流域管理条例》（国务院第604 号）、《江苏省太湖水污染防治条例》（2012 年修订）、《江苏省生态红线区域保护规划》、《镇江市生态红线区域保护规划》等相关要求，符合丹阳市</w:t>
      </w:r>
      <w:r>
        <w:rPr>
          <w:rFonts w:hint="eastAsia" w:asciiTheme="minorEastAsia" w:hAnsiTheme="minorEastAsia" w:eastAsiaTheme="minorEastAsia" w:cstheme="minorEastAsia"/>
          <w:sz w:val="28"/>
          <w:szCs w:val="28"/>
          <w:lang w:val="en-US" w:eastAsia="zh-CN"/>
        </w:rPr>
        <w:t>开发区</w:t>
      </w:r>
      <w:r>
        <w:rPr>
          <w:rFonts w:hint="eastAsia" w:asciiTheme="minorEastAsia" w:hAnsiTheme="minorEastAsia" w:eastAsiaTheme="minorEastAsia" w:cstheme="minorEastAsia"/>
          <w:sz w:val="28"/>
          <w:szCs w:val="28"/>
        </w:rPr>
        <w:t>产业定位及用地规划，厂址选择合理可行。</w:t>
      </w:r>
    </w:p>
    <w:p>
      <w:pPr>
        <w:pStyle w:val="30"/>
        <w:spacing w:before="120" w:after="120"/>
        <w:rPr>
          <w:rFonts w:hint="eastAsia" w:asciiTheme="minorEastAsia" w:hAnsiTheme="minorEastAsia" w:eastAsiaTheme="minorEastAsia" w:cstheme="minorEastAsia"/>
        </w:rPr>
      </w:pPr>
      <w:bookmarkStart w:id="121" w:name="_Toc466548282"/>
      <w:bookmarkStart w:id="122" w:name="_Toc457545460"/>
      <w:bookmarkStart w:id="123" w:name="_Toc11999"/>
      <w:r>
        <w:rPr>
          <w:rFonts w:hint="eastAsia" w:asciiTheme="minorEastAsia" w:hAnsiTheme="minorEastAsia" w:eastAsiaTheme="minorEastAsia" w:cstheme="minorEastAsia"/>
        </w:rPr>
        <w:t>14.2国家产业政策相符性分析</w:t>
      </w:r>
      <w:bookmarkEnd w:id="121"/>
      <w:bookmarkEnd w:id="122"/>
      <w:bookmarkEnd w:id="123"/>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现有项目产品经与国家发改委《产业结构调整指导目录（2011年本）（2013年修正）》、《江苏省工业和信息产业结构调整指导目录(2012年本)》以及《镇江市工商业产业结构调整指导目录》相对照，不在上述产业结构调整指导目录限制类和禁止淘汰类之列。因此，本项目符合国家及地方现行产业政策之要求；</w:t>
      </w:r>
    </w:p>
    <w:p>
      <w:pPr>
        <w:pStyle w:val="30"/>
        <w:spacing w:before="120" w:after="120"/>
        <w:rPr>
          <w:rFonts w:hint="eastAsia" w:asciiTheme="minorEastAsia" w:hAnsiTheme="minorEastAsia" w:eastAsiaTheme="minorEastAsia" w:cstheme="minorEastAsia"/>
        </w:rPr>
      </w:pPr>
      <w:bookmarkStart w:id="124" w:name="_Toc19745"/>
      <w:bookmarkStart w:id="125" w:name="_Toc466548283"/>
      <w:r>
        <w:rPr>
          <w:rFonts w:hint="eastAsia" w:asciiTheme="minorEastAsia" w:hAnsiTheme="minorEastAsia" w:eastAsiaTheme="minorEastAsia" w:cstheme="minorEastAsia"/>
        </w:rPr>
        <w:t>14.3生产工艺先进性分析</w:t>
      </w:r>
      <w:bookmarkEnd w:id="124"/>
      <w:bookmarkEnd w:id="125"/>
    </w:p>
    <w:p>
      <w:pPr>
        <w:spacing w:line="360" w:lineRule="auto"/>
        <w:ind w:firstLine="560" w:firstLineChars="200"/>
        <w:rPr>
          <w:rFonts w:ascii="宋体" w:hAnsi="宋体"/>
          <w:sz w:val="28"/>
          <w:szCs w:val="28"/>
        </w:rPr>
      </w:pPr>
      <w:bookmarkStart w:id="126" w:name="_Toc466548284"/>
      <w:bookmarkStart w:id="127" w:name="_Toc459588720"/>
      <w:r>
        <w:rPr>
          <w:rFonts w:hint="eastAsia" w:ascii="宋体" w:hAnsi="宋体"/>
          <w:sz w:val="28"/>
          <w:szCs w:val="28"/>
        </w:rPr>
        <w:t>本项目生产工艺成熟可靠，设备较先进且自动化控制程度较高，采用了清洁能源，节能降耗及污染物产生量较小且可实现达标排放。同时，本项目重视物料、能源和水资源的循环利用，遵循并实现了废弃物“减量化、再利用、再循环”三大原则。本项目可延伸区域产业链，促进丹阳市区域内相关行业的发展，符合循环经济理念的要求。</w:t>
      </w:r>
    </w:p>
    <w:p>
      <w:pPr>
        <w:pStyle w:val="30"/>
        <w:spacing w:before="120" w:after="120"/>
        <w:rPr>
          <w:rFonts w:hint="eastAsia" w:asciiTheme="minorEastAsia" w:hAnsiTheme="minorEastAsia" w:eastAsiaTheme="minorEastAsia" w:cstheme="minorEastAsia"/>
        </w:rPr>
      </w:pPr>
      <w:bookmarkStart w:id="128" w:name="_Toc6728"/>
      <w:r>
        <w:rPr>
          <w:rFonts w:hint="eastAsia" w:asciiTheme="minorEastAsia" w:hAnsiTheme="minorEastAsia" w:eastAsiaTheme="minorEastAsia" w:cstheme="minorEastAsia"/>
        </w:rPr>
        <w:t>14.4项目所在地（各辖市、区）生态环境质量同比改善情况</w:t>
      </w:r>
      <w:bookmarkEnd w:id="126"/>
      <w:bookmarkEnd w:id="127"/>
      <w:bookmarkEnd w:id="128"/>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无。</w:t>
      </w:r>
    </w:p>
    <w:p>
      <w:pPr>
        <w:pStyle w:val="30"/>
        <w:spacing w:before="120" w:after="120"/>
        <w:rPr>
          <w:rFonts w:hint="eastAsia" w:asciiTheme="minorEastAsia" w:hAnsiTheme="minorEastAsia" w:eastAsiaTheme="minorEastAsia" w:cstheme="minorEastAsia"/>
        </w:rPr>
      </w:pPr>
      <w:bookmarkStart w:id="129" w:name="_Toc466548285"/>
      <w:bookmarkStart w:id="130" w:name="_Toc26050"/>
      <w:bookmarkStart w:id="131" w:name="_Toc459588721"/>
      <w:r>
        <w:rPr>
          <w:rFonts w:hint="eastAsia" w:asciiTheme="minorEastAsia" w:hAnsiTheme="minorEastAsia" w:eastAsiaTheme="minorEastAsia" w:cstheme="minorEastAsia"/>
        </w:rPr>
        <w:t>14.5其它需要说明的情况</w:t>
      </w:r>
      <w:bookmarkEnd w:id="129"/>
      <w:bookmarkEnd w:id="130"/>
      <w:bookmarkEnd w:id="131"/>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根据丹阳市环保局信访科提供资料，企业自运行以来未出现过信访事件。企业自运行以来，各设备运行正常，未曾出现过污染环境事故。该公司周围环境可以满足</w:t>
      </w:r>
      <w:r>
        <w:rPr>
          <w:rFonts w:hint="eastAsia" w:asciiTheme="minorEastAsia" w:hAnsiTheme="minorEastAsia" w:eastAsiaTheme="minorEastAsia" w:cstheme="minorEastAsia"/>
          <w:sz w:val="28"/>
          <w:szCs w:val="28"/>
          <w:lang w:val="en-US" w:eastAsia="zh-CN"/>
        </w:rPr>
        <w:t>生产</w:t>
      </w:r>
      <w:r>
        <w:rPr>
          <w:rFonts w:hint="eastAsia" w:asciiTheme="minorEastAsia" w:hAnsiTheme="minorEastAsia" w:eastAsiaTheme="minorEastAsia" w:cstheme="minorEastAsia"/>
          <w:sz w:val="28"/>
          <w:szCs w:val="28"/>
        </w:rPr>
        <w:t>车间</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0m卫生防护距离设置要求。</w:t>
      </w:r>
    </w:p>
    <w:p>
      <w:pPr>
        <w:pStyle w:val="2"/>
        <w:spacing w:before="120" w:after="0" w:line="600" w:lineRule="exact"/>
        <w:jc w:val="center"/>
        <w:rPr>
          <w:rFonts w:ascii="宋体" w:hAnsi="宋体"/>
          <w:bCs w:val="0"/>
          <w:sz w:val="30"/>
          <w:szCs w:val="30"/>
        </w:rPr>
      </w:pPr>
      <w:bookmarkStart w:id="132" w:name="_Toc466548286"/>
      <w:r>
        <w:rPr>
          <w:rFonts w:hint="eastAsia" w:ascii="宋体" w:hAnsi="宋体"/>
          <w:bCs w:val="0"/>
          <w:sz w:val="30"/>
          <w:szCs w:val="30"/>
        </w:rPr>
        <w:br w:type="page"/>
      </w:r>
      <w:bookmarkStart w:id="133" w:name="_Toc10870"/>
      <w:r>
        <w:rPr>
          <w:rFonts w:hint="eastAsia" w:asciiTheme="minorEastAsia" w:hAnsiTheme="minorEastAsia" w:eastAsiaTheme="minorEastAsia" w:cstheme="minorEastAsia"/>
          <w:b/>
          <w:bCs/>
          <w:kern w:val="44"/>
          <w:sz w:val="32"/>
          <w:szCs w:val="32"/>
          <w:lang w:val="en-US" w:eastAsia="zh-CN" w:bidi="ar-SA"/>
        </w:rPr>
        <w:t>第15章   评估结论及改进措施</w:t>
      </w:r>
      <w:bookmarkEnd w:id="132"/>
      <w:bookmarkEnd w:id="133"/>
    </w:p>
    <w:p>
      <w:pPr>
        <w:pStyle w:val="30"/>
        <w:spacing w:before="120" w:after="120"/>
        <w:rPr>
          <w:rFonts w:hint="eastAsia" w:asciiTheme="minorEastAsia" w:hAnsiTheme="minorEastAsia" w:eastAsiaTheme="minorEastAsia" w:cstheme="minorEastAsia"/>
        </w:rPr>
      </w:pPr>
      <w:bookmarkStart w:id="134" w:name="_Toc26402"/>
      <w:bookmarkStart w:id="135" w:name="_Toc466548287"/>
      <w:r>
        <w:rPr>
          <w:rFonts w:hint="eastAsia" w:asciiTheme="minorEastAsia" w:hAnsiTheme="minorEastAsia" w:eastAsiaTheme="minorEastAsia" w:cstheme="minorEastAsia"/>
        </w:rPr>
        <w:t>15.1评估结论</w:t>
      </w:r>
      <w:bookmarkEnd w:id="134"/>
      <w:bookmarkEnd w:id="135"/>
    </w:p>
    <w:p>
      <w:pPr>
        <w:spacing w:line="360" w:lineRule="auto"/>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该项目符合国家及地方相关产业政策；选址符合《太湖流域管理条例》（国务院第604 号）、《江苏省太湖水污染防治条例》（2012年修订）、《江苏省生态红线区域保护规划》、《镇江市生态红线区域保护规划》等相关要求，符合丹阳市</w:t>
      </w:r>
      <w:r>
        <w:rPr>
          <w:rFonts w:hint="eastAsia" w:asciiTheme="minorEastAsia" w:hAnsiTheme="minorEastAsia" w:eastAsiaTheme="minorEastAsia" w:cstheme="minorEastAsia"/>
          <w:b/>
          <w:bCs/>
          <w:sz w:val="28"/>
          <w:szCs w:val="28"/>
          <w:lang w:val="en-US" w:eastAsia="zh-CN"/>
        </w:rPr>
        <w:t>开发区</w:t>
      </w:r>
      <w:r>
        <w:rPr>
          <w:rFonts w:hint="eastAsia" w:asciiTheme="minorEastAsia" w:hAnsiTheme="minorEastAsia" w:eastAsiaTheme="minorEastAsia" w:cstheme="minorEastAsia"/>
          <w:b/>
          <w:bCs/>
          <w:sz w:val="28"/>
          <w:szCs w:val="28"/>
        </w:rPr>
        <w:t>产业定位及用地规划，厂址选择合理可行；采用的各项环保设施合理、可靠、有效，能保证各类污染物稳定达标排放或综合处置利用；污染物排放总量可在丹阳市</w:t>
      </w:r>
      <w:r>
        <w:rPr>
          <w:rFonts w:hint="eastAsia" w:asciiTheme="minorEastAsia" w:hAnsiTheme="minorEastAsia" w:eastAsiaTheme="minorEastAsia" w:cstheme="minorEastAsia"/>
          <w:b/>
          <w:bCs/>
          <w:sz w:val="28"/>
          <w:szCs w:val="28"/>
          <w:lang w:val="en-US" w:eastAsia="zh-CN"/>
        </w:rPr>
        <w:t>开发区</w:t>
      </w:r>
      <w:r>
        <w:rPr>
          <w:rFonts w:hint="eastAsia" w:asciiTheme="minorEastAsia" w:hAnsiTheme="minorEastAsia" w:eastAsiaTheme="minorEastAsia" w:cstheme="minorEastAsia"/>
          <w:b/>
          <w:bCs/>
          <w:sz w:val="28"/>
          <w:szCs w:val="28"/>
        </w:rPr>
        <w:t>范围内平衡；各类污染物正常排放对评价区域环境质量影响较小。因此，从环保角度而言，在确切落实废气</w:t>
      </w:r>
      <w:r>
        <w:rPr>
          <w:rFonts w:hint="eastAsia" w:asciiTheme="minorEastAsia" w:hAnsiTheme="minorEastAsia" w:eastAsiaTheme="minorEastAsia" w:cstheme="minorEastAsia"/>
          <w:b/>
          <w:bCs/>
          <w:sz w:val="28"/>
          <w:szCs w:val="28"/>
          <w:lang w:val="en-US" w:eastAsia="zh-CN"/>
        </w:rPr>
        <w:t>治理</w:t>
      </w:r>
      <w:r>
        <w:rPr>
          <w:rFonts w:hint="eastAsia" w:asciiTheme="minorEastAsia" w:hAnsiTheme="minorEastAsia" w:eastAsiaTheme="minorEastAsia" w:cstheme="minorEastAsia"/>
          <w:b/>
          <w:bCs/>
          <w:sz w:val="28"/>
          <w:szCs w:val="28"/>
        </w:rPr>
        <w:t>措施的前提下，该项目营运可行，符合“登记一批”要求。</w:t>
      </w:r>
    </w:p>
    <w:p>
      <w:pPr>
        <w:pStyle w:val="30"/>
        <w:spacing w:before="120" w:after="120"/>
        <w:rPr>
          <w:rFonts w:hint="eastAsia" w:asciiTheme="minorEastAsia" w:hAnsiTheme="minorEastAsia" w:eastAsiaTheme="minorEastAsia" w:cstheme="minorEastAsia"/>
        </w:rPr>
      </w:pPr>
      <w:bookmarkStart w:id="136" w:name="_Toc466548288"/>
      <w:bookmarkStart w:id="137" w:name="_Toc20532"/>
      <w:r>
        <w:rPr>
          <w:rFonts w:hint="eastAsia" w:asciiTheme="minorEastAsia" w:hAnsiTheme="minorEastAsia" w:eastAsiaTheme="minorEastAsia" w:cstheme="minorEastAsia"/>
        </w:rPr>
        <w:t>15.2改进措施</w:t>
      </w:r>
      <w:bookmarkEnd w:id="136"/>
      <w:bookmarkEnd w:id="137"/>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（1）加大环保设施的投资，加强环保设施的日常运行管理，务必保证污染物达标排放；</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（2）加强固体废物尤其是危险固废在厂内堆存期间的环境管理；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（3）按《江苏省排污口设置及规范化整治管理办法》等有关规定执行各排污口的设置和管理；加强环境管理和环境监测，按要求认真落实污染源监测计划；</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（4）严格落实卫生防护距离设置要求，优化无组织废气排放工段布局，确保卫生防护距离范围内无居民等敏感保护目标。</w:t>
      </w:r>
    </w:p>
    <w:p>
      <w:pPr>
        <w:spacing w:line="360" w:lineRule="auto"/>
        <w:rPr>
          <w:rFonts w:hint="eastAsia" w:asciiTheme="minorEastAsia" w:hAnsiTheme="minorEastAsia" w:eastAsiaTheme="minorEastAsia" w:cstheme="minorEastAsia"/>
          <w:sz w:val="28"/>
          <w:szCs w:val="28"/>
        </w:rPr>
        <w:sectPr>
          <w:footerReference r:id="rId8"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rPr>
        <w:pict>
          <v:shape id="自选图形 8" o:spid="_x0000_s2301" o:spt="62" type="#_x0000_t62" style="position:absolute;left:0pt;margin-left:250.6pt;margin-top:215.6pt;height:25.05pt;width:72pt;z-index:1024;mso-width-relative:page;mso-height-relative:page;" coordsize="21600,21600" adj="-9210,60489,14400">
            <v:path/>
            <v:fill focussize="0,0"/>
            <v:stroke joinstyle="miter"/>
            <v:imagedata o:title=""/>
            <o:lock v:ext="edit"/>
            <v:textbox>
              <w:txbxContent>
                <w:p>
                  <w:r>
                    <w:rPr>
                      <w:rFonts w:hint="eastAsia"/>
                    </w:rPr>
                    <w:t>项目所在地</w:t>
                  </w:r>
                </w:p>
              </w:txbxContent>
            </v:textbox>
          </v:shape>
        </w:pict>
      </w:r>
      <w:r>
        <w:rPr>
          <w:rFonts w:hint="eastAsia" w:asciiTheme="minorEastAsia" w:hAnsiTheme="minorEastAsia" w:eastAsiaTheme="minorEastAsia" w:cstheme="minorEastAsia"/>
        </w:rPr>
        <w:pict>
          <v:shape id="Quad Arrow 712" o:spid="_x0000_s2302" o:spt="202" type="#_x0000_t202" style="position:absolute;left:0pt;margin-left:311.75pt;margin-top:442.35pt;height:68.4pt;width:106.5pt;z-index:1024;mso-width-relative:page;mso-height-relative:page;" stroked="t" coordsize="21600,21600">
            <v:path/>
            <v:fill focussize="0,0"/>
            <v:stroke weight="0.5pt" color="#333333" joinstyle="miter"/>
            <v:imagedata o:title=""/>
            <o:lock v:ext="edit"/>
            <v:textbox>
              <w:txbxContent>
                <w:p>
                  <w:pPr>
                    <w:spacing w:after="120" w:afterLines="50" w:line="240" w:lineRule="exact"/>
                    <w:jc w:val="center"/>
                    <w:rPr>
                      <w:b/>
                      <w:bCs/>
                    </w:rPr>
                  </w:pPr>
                  <w:r>
                    <w:rPr>
                      <w:rFonts w:hint="eastAsia" w:cs="宋体"/>
                      <w:b/>
                      <w:bCs/>
                    </w:rPr>
                    <w:t>图</w:t>
                  </w:r>
                  <w:r>
                    <w:rPr>
                      <w:b/>
                      <w:bCs/>
                    </w:rPr>
                    <w:t xml:space="preserve">   </w:t>
                  </w:r>
                  <w:r>
                    <w:rPr>
                      <w:rFonts w:hint="eastAsia" w:cs="宋体"/>
                      <w:b/>
                      <w:bCs/>
                    </w:rPr>
                    <w:t>例</w:t>
                  </w:r>
                </w:p>
                <w:p>
                  <w:r>
                    <w:pict>
                      <v:shape id="_x0000_i1032" o:spt="75" type="#_x0000_t75" style="height:6.75pt;width:12pt;" filled="f" o:preferrelative="t" stroked="f" coordsize="21600,21600">
                        <v:path/>
                        <v:fill on="f" focussize="0,0"/>
                        <v:stroke on="f" joinstyle="miter"/>
                        <v:imagedata r:id="rId18" o:title=""/>
                        <o:lock v:ext="edit" aspectratio="t"/>
                        <w10:wrap type="none"/>
                        <w10:anchorlock/>
                      </v:shape>
                    </w:pict>
                  </w:r>
                  <w:r>
                    <w:rPr>
                      <w:rFonts w:hint="eastAsia" w:cs="宋体"/>
                    </w:rPr>
                    <w:t>：项目位置</w:t>
                  </w:r>
                </w:p>
                <w:p>
                  <w:pPr>
                    <w:spacing w:before="120" w:beforeLines="50"/>
                  </w:pPr>
                  <w:r>
                    <w:rPr>
                      <w:rFonts w:hint="eastAsia" w:cs="宋体"/>
                      <w:b/>
                      <w:bCs/>
                    </w:rPr>
                    <w:t>比例尺</w:t>
                  </w:r>
                  <w:r>
                    <w:rPr>
                      <w:rFonts w:hint="eastAsia" w:cs="宋体"/>
                    </w:rPr>
                    <w:t>：</w:t>
                  </w:r>
                  <w:r>
                    <w:rPr>
                      <w:rFonts w:cs="宋体"/>
                    </w:rPr>
                    <w:t>1:50000</w:t>
                  </w:r>
                </w:p>
              </w:txbxContent>
            </v:textbox>
          </v:shape>
        </w:pict>
      </w:r>
      <w:r>
        <w:rPr>
          <w:rFonts w:hint="eastAsia" w:asciiTheme="minorEastAsia" w:hAnsiTheme="minorEastAsia" w:eastAsiaTheme="minorEastAsia" w:cstheme="minorEastAsia"/>
        </w:rPr>
        <w:pict>
          <v:rect id="矩形 5" o:spid="_x0000_s2303" o:spt="1" style="position:absolute;left:0pt;margin-left:208.85pt;margin-top:284.5pt;height:7.15pt;width:7.15pt;z-index:1024;mso-width-relative:page;mso-height-relative:page;" fillcolor="#FF0000" filled="t" coordsize="21600,21600">
            <v:path/>
            <v:fill on="t" focussize="0,0"/>
            <v:stroke/>
            <v:imagedata o:title=""/>
            <o:lock v:ext="edit"/>
          </v:rect>
        </w:pict>
      </w:r>
      <w:r>
        <w:rPr>
          <w:rFonts w:hint="eastAsia" w:asciiTheme="minorEastAsia" w:hAnsiTheme="minorEastAsia" w:eastAsiaTheme="minorEastAsia" w:cstheme="minorEastAsia"/>
        </w:rPr>
        <w:pict>
          <v:group id="_x0000_s2304" o:spid="_x0000_s2304" o:spt="203" style="position:absolute;left:0pt;margin-left:348.8pt;margin-top:-5.45pt;height:81.05pt;width:67.2pt;z-index:1024;mso-width-relative:page;mso-height-relative:page;" coordorigin="9242,13965" coordsize="1344,1621">
            <o:lock v:ext="edit"/>
            <v:shape id="_x0000_s2305" o:spid="_x0000_s2305" o:spt="75" type="#_x0000_t75" style="position:absolute;left:9242;top:14236;height:1350;width:1344;" o:ole="t" filled="t" o:preferrelative="t" stroked="t" coordsize="21600,21600">
              <v:path/>
              <v:fill on="t" focussize="0,0"/>
              <v:stroke color="#FFFFFF" joinstyle="miter"/>
              <v:imagedata r:id="rId20" cropleft="28277f" croptop="12641f" cropright="20592f" cropbottom="26443f" o:title=""/>
              <o:lock v:ext="edit" aspectratio="t"/>
            </v:shape>
            <v:shape id="_x0000_s2306" o:spid="_x0000_s2306" o:spt="202" type="#_x0000_t202" style="position:absolute;left:9587;top:13965;height:624;width:540;" filled="f" stroked="f" coordsize="21600,21600">
              <v:path/>
              <v:fill on="f" focussize="0,0"/>
              <v:stroke on="f" joinstyle="miter"/>
              <v:imagedata o:title=""/>
              <o:lock v:ext="edit"/>
              <v:textbox>
                <w:txbxContent>
                  <w:p>
                    <w:r>
                      <w:t>N</w:t>
                    </w:r>
                  </w:p>
                </w:txbxContent>
              </v:textbox>
            </v:shape>
          </v:group>
          <o:OLEObject Type="Embed" ProgID="Unknown" ShapeID="_x0000_s2305" DrawAspect="Content" ObjectID="_1468075726" r:id="rId19">
            <o:LockedField>false</o:LockedField>
          </o:OLEObject>
        </w:pict>
      </w:r>
      <w:r>
        <w:rPr>
          <w:rFonts w:hint="eastAsia" w:asciiTheme="minorEastAsia" w:hAnsiTheme="minorEastAsia" w:eastAsiaTheme="minorEastAsia" w:cstheme="minorEastAsia"/>
          <w:color w:val="000000"/>
          <w:sz w:val="28"/>
          <w:szCs w:val="28"/>
        </w:rPr>
        <w:pict>
          <v:shape id="_x0000_i1033" o:spt="75" type="#_x0000_t75" style="height:508.5pt;width:414.75pt;" filled="f" o:preferrelative="t" stroked="f" coordsize="21600,21600">
            <v:path/>
            <v:fill on="f" focussize="0,0"/>
            <v:stroke on="f" joinstyle="miter"/>
            <v:imagedata r:id="rId21" o:title=""/>
            <o:lock v:ext="edit" aspectratio="t"/>
            <w10:wrap type="none"/>
            <w10:anchorlock/>
          </v:shape>
        </w:pict>
      </w:r>
    </w:p>
    <w:p>
      <w:pPr>
        <w:pStyle w:val="14"/>
        <w:ind w:firstLine="560" w:firstLineChars="200"/>
        <w:jc w:val="center"/>
        <w:rPr>
          <w:rStyle w:val="19"/>
          <w:rFonts w:hint="eastAsia" w:asciiTheme="minorEastAsia" w:hAnsiTheme="minorEastAsia" w:eastAsiaTheme="minorEastAsia" w:cstheme="minorEastAsia"/>
          <w:color w:val="auto"/>
          <w:sz w:val="28"/>
          <w:szCs w:val="28"/>
          <w:u w:val="none"/>
        </w:rPr>
      </w:pPr>
    </w:p>
    <w:p>
      <w:pPr>
        <w:pStyle w:val="14"/>
        <w:ind w:firstLine="560" w:firstLineChars="200"/>
        <w:jc w:val="center"/>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附图1：建设项目地理位置图</w:t>
      </w:r>
    </w:p>
    <w:p>
      <w:pPr>
        <w:rPr>
          <w:rStyle w:val="19"/>
          <w:rFonts w:hint="eastAsia" w:asciiTheme="minorEastAsia" w:hAnsiTheme="minorEastAsia" w:eastAsiaTheme="minorEastAsia" w:cstheme="minorEastAsia"/>
          <w:color w:val="auto"/>
          <w:sz w:val="28"/>
          <w:szCs w:val="28"/>
          <w:u w:val="none"/>
        </w:rPr>
      </w:pPr>
    </w:p>
    <w:p>
      <w:pPr>
        <w:rPr>
          <w:rStyle w:val="19"/>
          <w:rFonts w:hint="eastAsia" w:asciiTheme="minorEastAsia" w:hAnsiTheme="minorEastAsia" w:eastAsiaTheme="minorEastAsia" w:cstheme="minorEastAsia"/>
          <w:color w:val="auto"/>
          <w:sz w:val="28"/>
          <w:szCs w:val="28"/>
          <w:u w:val="none"/>
        </w:rPr>
      </w:pPr>
    </w:p>
    <w:p>
      <w:pPr>
        <w:spacing w:line="360" w:lineRule="auto"/>
        <w:ind w:firstLine="560" w:firstLineChars="200"/>
        <w:rPr>
          <w:rFonts w:hint="eastAsia" w:asciiTheme="minorEastAsia" w:hAnsiTheme="minorEastAsia" w:eastAsiaTheme="minorEastAsia" w:cstheme="minorEastAsia"/>
          <w:kern w:val="0"/>
          <w:sz w:val="28"/>
          <w:szCs w:val="28"/>
        </w:rPr>
      </w:pPr>
    </w:p>
    <w:p>
      <w:pPr>
        <w:spacing w:line="360" w:lineRule="auto"/>
        <w:ind w:firstLine="560" w:firstLineChars="200"/>
        <w:rPr>
          <w:rFonts w:hint="eastAsia" w:asciiTheme="minorEastAsia" w:hAnsiTheme="minorEastAsia" w:eastAsiaTheme="minorEastAsia" w:cstheme="minorEastAsia"/>
          <w:kern w:val="0"/>
          <w:sz w:val="28"/>
          <w:szCs w:val="28"/>
        </w:rPr>
      </w:pPr>
    </w:p>
    <w:p>
      <w:pPr>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rPr>
        <w:pict>
          <v:group id="_x0000_s2353" o:spid="_x0000_s2353" o:spt="203" style="position:absolute;left:0pt;margin-left:359.7pt;margin-top:-8pt;height:81.05pt;width:67.2pt;z-index:80065536;mso-width-relative:page;mso-height-relative:page;" coordorigin="9242,13965" coordsize="1344,1621">
            <o:lock v:ext="edit"/>
            <v:shape id="_x0000_s2354" o:spid="_x0000_s2354" o:spt="75" type="#_x0000_t75" style="position:absolute;left:9242;top:14236;height:1350;width:1344;" o:ole="t" filled="t" o:preferrelative="t" stroked="t" coordsize="21600,21600">
              <v:path/>
              <v:fill on="t" focussize="0,0"/>
              <v:stroke color="#FFFFFF" joinstyle="miter"/>
              <v:imagedata r:id="rId20" cropleft="28277f" croptop="12641f" cropright="20592f" cropbottom="26443f" o:title=""/>
              <o:lock v:ext="edit" aspectratio="t"/>
            </v:shape>
            <v:shape id="_x0000_s2355" o:spid="_x0000_s2355" o:spt="202" type="#_x0000_t202" style="position:absolute;left:9587;top:13965;height:624;width:540;" filled="f" stroked="f" coordsize="21600,21600">
              <v:path/>
              <v:fill on="f" focussize="0,0"/>
              <v:stroke on="f" joinstyle="miter"/>
              <v:imagedata o:title=""/>
              <o:lock v:ext="edit"/>
              <v:textbox>
                <w:txbxContent>
                  <w:p>
                    <w:r>
                      <w:t>N</w:t>
                    </w:r>
                  </w:p>
                </w:txbxContent>
              </v:textbox>
            </v:shape>
          </v:group>
          <o:OLEObject Type="Embed" ProgID="Unknown" ShapeID="_x0000_s2354" DrawAspect="Content" ObjectID="_1468075727" r:id="rId22">
            <o:LockedField>false</o:LockedField>
          </o:OLEObject>
        </w:pict>
      </w:r>
    </w:p>
    <w:p>
      <w:pPr>
        <w:spacing w:line="360" w:lineRule="auto"/>
        <w:rPr>
          <w:rFonts w:hint="eastAsia" w:asciiTheme="minorEastAsia" w:hAnsiTheme="minorEastAsia" w:eastAsiaTheme="minorEastAsia" w:cstheme="minorEastAsia"/>
          <w:color w:val="000000"/>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heme="minorEastAsia" w:hAnsiTheme="minorEastAsia" w:eastAsiaTheme="minorEastAsia" w:cstheme="minorEastAsia"/>
        </w:rPr>
        <w:pict>
          <v:roundrect id="自选图形 2" o:spid="_x0000_s2349" o:spt="2" style="position:absolute;left:0pt;margin-left:219.55pt;margin-top:191.65pt;height:50.5pt;width:90.45pt;z-index:1809233920;mso-width-relative:page;mso-height-relative:page;" filled="f" stroked="t" coordsize="21600,21600" arcsize="0.166666666666667" o:gfxdata="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3x1gAAAAsBAAAPAAAAAAAAAAEAIAAAACIA&#10;AABkcnMvZG93bnJldi54bWxQSwECFAAUAAAACACHTuJAOD9rPwsCAADjAwAADgAAAAAAAAABACAA&#10;AAAlAQAAZHJzL2Uyb0RvYy54bWxQSwUGAAAAAAYABgBZAQAAogUAAAAA&#10;">
            <v:path/>
            <v:fill on="f" focussize="0,0"/>
            <v:stroke weight="1.25pt" color="#FF0000" joinstyle="round" dashstyle="longDash"/>
            <v:imagedata o:title=""/>
            <o:lock v:ext="edit" aspectratio="f"/>
          </v:roundrect>
        </w:pict>
      </w:r>
      <w:r>
        <w:rPr>
          <w:rFonts w:hint="eastAsia" w:asciiTheme="minorEastAsia" w:hAnsiTheme="minorEastAsia" w:eastAsiaTheme="minorEastAsia" w:cstheme="minorEastAsia"/>
          <w:sz w:val="28"/>
        </w:rPr>
        <w:pict>
          <v:shape id="_x0000_s2352" o:spid="_x0000_s2352" o:spt="202" type="#_x0000_t202" style="position:absolute;left:0pt;margin-left:47.25pt;margin-top:488.85pt;height:52.5pt;width:302.5pt;z-index:770332672;mso-width-relative:page;mso-height-relative:page;" fillcolor="#FFFFFF" filled="t" stroked="f" coordsize="21600,21600">
            <v:path/>
            <v:fill on="t" color2="#FFFFFF" focussize="0,0"/>
            <v:stroke on="f" weight="2pt" joinstyle="round"/>
            <v:imagedata o:title=""/>
            <o:lock v:ext="edit" aspectratio="f"/>
            <v:textbox>
              <w:txbxContent>
                <w:p>
                  <w:pPr>
                    <w:pStyle w:val="14"/>
                    <w:ind w:firstLine="560" w:firstLineChars="200"/>
                    <w:jc w:val="center"/>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w:t>
                  </w:r>
                  <w:r>
                    <w:rPr>
                      <w:rStyle w:val="19"/>
                      <w:rFonts w:hint="eastAsia" w:asciiTheme="minorEastAsia" w:hAnsiTheme="minorEastAsia" w:eastAsiaTheme="minorEastAsia" w:cstheme="minorEastAsia"/>
                      <w:color w:val="auto"/>
                      <w:sz w:val="28"/>
                      <w:szCs w:val="28"/>
                      <w:u w:val="none"/>
                      <w:lang w:val="en-US" w:eastAsia="zh-CN"/>
                    </w:rPr>
                    <w:t>2</w:t>
                  </w:r>
                  <w:r>
                    <w:rPr>
                      <w:rStyle w:val="19"/>
                      <w:rFonts w:hint="eastAsia" w:asciiTheme="minorEastAsia" w:hAnsiTheme="minorEastAsia" w:eastAsiaTheme="minorEastAsia" w:cstheme="minorEastAsia"/>
                      <w:color w:val="auto"/>
                      <w:sz w:val="28"/>
                      <w:szCs w:val="28"/>
                      <w:u w:val="none"/>
                    </w:rPr>
                    <w:t>：建设项目</w:t>
                  </w:r>
                  <w:r>
                    <w:rPr>
                      <w:rStyle w:val="19"/>
                      <w:rFonts w:hint="eastAsia" w:asciiTheme="minorEastAsia" w:hAnsiTheme="minorEastAsia" w:eastAsiaTheme="minorEastAsia" w:cstheme="minorEastAsia"/>
                      <w:color w:val="auto"/>
                      <w:sz w:val="28"/>
                      <w:szCs w:val="28"/>
                      <w:u w:val="none"/>
                      <w:lang w:val="en-US" w:eastAsia="zh-CN"/>
                    </w:rPr>
                    <w:t>周围环境图</w:t>
                  </w:r>
                </w:p>
                <w:p/>
              </w:txbxContent>
            </v:textbox>
          </v:shape>
        </w:pict>
      </w:r>
      <w:r>
        <w:rPr>
          <w:rFonts w:hint="eastAsia" w:asciiTheme="minorEastAsia" w:hAnsiTheme="minorEastAsia" w:eastAsiaTheme="minorEastAsia" w:cstheme="minorEastAsia"/>
          <w:sz w:val="21"/>
        </w:rPr>
        <w:pict>
          <v:shape id="文本框 83" o:spid="_x0000_s2351" o:spt="202" type="#_x0000_t202" style="position:absolute;left:0pt;margin-left:306.95pt;margin-top:132.25pt;height:24.4pt;width:95.05pt;z-index:2132731904;mso-width-relative:page;mso-height-relative:page;" filled="f" stroked="t" coordsize="21600,21600" o:gfxdata="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7IBga2gAAAAoBAAAPAAAA&#10;AAAAAAEAIAAAACIAAABkcnMvZG93bnJldi54bWxQSwECFAAUAAAACACHTuJAi2xjN0wCAABnBAAA&#10;DgAAAAAAAAABACAAAAApAQAAZHJzL2Uyb0RvYy54bWxQSwUGAAAAAAYABgBZAQAA5wUAAAAA&#10;">
            <v:path/>
            <v:fill on="f" focussize="0,0"/>
            <v:stroke weight="0.5pt" color="#FF0000" joinstyle="round" dashstyle="dash"/>
            <v:imagedata o:title=""/>
            <o:lock v:ext="edit" aspectratio="f"/>
            <v:textbox>
              <w:txbxContent>
                <w:p>
                  <w:pPr>
                    <w:rPr>
                      <w:rFonts w:hint="eastAsia" w:eastAsiaTheme="minorEastAsia"/>
                      <w:color w:val="FF0000"/>
                      <w:sz w:val="16"/>
                      <w:szCs w:val="16"/>
                      <w:lang w:val="en-US" w:eastAsia="zh-CN"/>
                    </w:rPr>
                  </w:pPr>
                  <w:r>
                    <w:rPr>
                      <w:rFonts w:hint="eastAsia"/>
                      <w:color w:val="FF0000"/>
                      <w:sz w:val="16"/>
                      <w:szCs w:val="16"/>
                      <w:lang w:val="en-US" w:eastAsia="zh-CN"/>
                    </w:rPr>
                    <w:t>100m卫生防护距离</w:t>
                  </w:r>
                </w:p>
              </w:txbxContent>
            </v:textbox>
          </v:shape>
        </w:pict>
      </w:r>
      <w:r>
        <w:rPr>
          <w:rFonts w:hint="eastAsia" w:asciiTheme="minorEastAsia" w:hAnsiTheme="minorEastAsia" w:eastAsiaTheme="minorEastAsia" w:cstheme="minorEastAsia"/>
          <w:sz w:val="21"/>
        </w:rPr>
        <w:pict>
          <v:shape id="直接连接符 81" o:spid="_x0000_s2350" o:spt="32" type="#_x0000_t32" style="position:absolute;left:0pt;flip:x;margin-left:272.75pt;margin-top:156.6pt;height:38.3pt;width:60.7pt;z-index:1970981888;mso-width-relative:page;mso-height-relative:page;" filled="f" stroked="t" coordsize="21600,21600">
            <v:path arrowok="t"/>
            <v:fill on="f" focussize="0,0"/>
            <v:stroke color="#FF0000" joinstyle="round" dashstyle="dash" startarrow="block"/>
            <v:imagedata o:title=""/>
            <o:lock v:ext="edit" aspectratio="f"/>
          </v:shape>
        </w:pict>
      </w:r>
      <w:r>
        <w:rPr>
          <w:rFonts w:hint="eastAsia" w:asciiTheme="minorEastAsia" w:hAnsiTheme="minorEastAsia" w:eastAsiaTheme="minorEastAsia" w:cstheme="minorEastAsia"/>
          <w:sz w:val="21"/>
        </w:rPr>
        <w:pict>
          <v:shape id="_x0000_s2348" o:spid="_x0000_s2348" o:spt="202" type="#_x0000_t202" style="position:absolute;left:0pt;margin-left:356.85pt;margin-top:312.3pt;height:121.35pt;width:38.9pt;z-index:-245148672;mso-width-relative:page;mso-height-relative:page;" filled="f" stroked="f" coordsize="21600,21600">
            <v:path/>
            <v:fill on="f" focussize="0,0"/>
            <v:stroke on="f"/>
            <v:imagedata o:title=""/>
            <o:lock v:ext="edit" aspectratio="f"/>
            <v:textbox style="layout-flow:vertical-ideographic;">
              <w:txbxContent>
                <w:p>
                  <w:pPr>
                    <w:rPr>
                      <w:rFonts w:hint="eastAsia" w:eastAsia="宋体"/>
                      <w:lang w:val="en-US" w:eastAsia="zh-CN"/>
                    </w:rPr>
                  </w:pPr>
                  <w:r>
                    <w:rPr>
                      <w:rFonts w:hint="eastAsia" w:eastAsiaTheme="minorEastAsia"/>
                      <w:sz w:val="21"/>
                      <w:szCs w:val="21"/>
                      <w:lang w:val="en-US" w:eastAsia="zh-CN"/>
                    </w:rPr>
                    <w:t>大 亚 东 路</w:t>
                  </w:r>
                </w:p>
              </w:txbxContent>
            </v:textbox>
          </v:shape>
        </w:pict>
      </w:r>
      <w:r>
        <w:rPr>
          <w:rFonts w:hint="eastAsia" w:asciiTheme="minorEastAsia" w:hAnsiTheme="minorEastAsia" w:eastAsiaTheme="minorEastAsia" w:cstheme="minorEastAsia"/>
          <w:sz w:val="21"/>
        </w:rPr>
        <w:pict>
          <v:shape id="_x0000_s2346" o:spid="_x0000_s2346" o:spt="202" type="#_x0000_t202" style="position:absolute;left:0pt;margin-left:198.8pt;margin-top:314.25pt;height:121.35pt;width:38.9pt;z-index:-2144229376;mso-width-relative:page;mso-height-relative:page;" filled="f" stroked="f" coordsize="21600,21600">
            <v:path/>
            <v:fill on="f" focussize="0,0"/>
            <v:stroke on="f"/>
            <v:imagedata o:title=""/>
            <o:lock v:ext="edit" aspectratio="f"/>
            <v:textbox style="layout-flow:vertical-ideographic;">
              <w:txbxContent>
                <w:p>
                  <w:pPr>
                    <w:rPr>
                      <w:rFonts w:hint="eastAsia" w:eastAsia="宋体"/>
                      <w:lang w:val="en-US" w:eastAsia="zh-CN"/>
                    </w:rPr>
                  </w:pPr>
                  <w:r>
                    <w:rPr>
                      <w:rFonts w:hint="eastAsia" w:eastAsiaTheme="minorEastAsia"/>
                      <w:sz w:val="21"/>
                      <w:szCs w:val="21"/>
                      <w:lang w:val="en-US" w:eastAsia="zh-CN"/>
                    </w:rPr>
                    <w:t xml:space="preserve">园 区 道 </w:t>
                  </w:r>
                  <w:r>
                    <w:rPr>
                      <w:rFonts w:hint="eastAsia"/>
                      <w:lang w:val="en-US" w:eastAsia="zh-CN"/>
                    </w:rPr>
                    <w:t>路</w:t>
                  </w:r>
                </w:p>
              </w:txbxContent>
            </v:textbox>
          </v:shape>
        </w:pict>
      </w:r>
      <w:r>
        <w:rPr>
          <w:rFonts w:hint="eastAsia" w:asciiTheme="minorEastAsia" w:hAnsiTheme="minorEastAsia" w:eastAsiaTheme="minorEastAsia" w:cstheme="minorEastAsia"/>
          <w:sz w:val="21"/>
        </w:rPr>
        <w:pict>
          <v:shape id="_x0000_s2347" o:spid="_x0000_s2347" o:spt="202" type="#_x0000_t202" style="position:absolute;left:0pt;margin-left:41.65pt;margin-top:320.15pt;height:121.35pt;width:38.9pt;z-index:-245148672;mso-width-relative:page;mso-height-relative:page;" filled="f" stroked="f" coordsize="21600,21600">
            <v:path/>
            <v:fill on="f" focussize="0,0"/>
            <v:stroke on="f"/>
            <v:imagedata o:title=""/>
            <o:lock v:ext="edit" aspectratio="f"/>
            <v:textbox style="layout-flow:vertical-ideographic;">
              <w:txbxContent>
                <w:p>
                  <w:pPr>
                    <w:rPr>
                      <w:rFonts w:hint="eastAsia" w:eastAsia="宋体"/>
                      <w:lang w:val="en-US" w:eastAsia="zh-CN"/>
                    </w:rPr>
                  </w:pPr>
                  <w:r>
                    <w:rPr>
                      <w:rFonts w:hint="eastAsia"/>
                      <w:lang w:val="en-US" w:eastAsia="zh-CN"/>
                    </w:rPr>
                    <w:t>齐 梁 路</w:t>
                  </w:r>
                </w:p>
              </w:txbxContent>
            </v:textbox>
          </v:shape>
        </w:pict>
      </w:r>
      <w:r>
        <w:rPr>
          <w:rFonts w:hint="eastAsia" w:asciiTheme="minorEastAsia" w:hAnsiTheme="minorEastAsia" w:eastAsiaTheme="minorEastAsia" w:cstheme="minorEastAsia"/>
          <w:sz w:val="21"/>
        </w:rPr>
        <w:pict>
          <v:rect id="矩形 25" o:spid="_x0000_s2331" o:spt="1" style="position:absolute;left:0pt;margin-left:234.35pt;margin-top:230.4pt;height:19.4pt;width:61.8pt;z-index:-556874752;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shape id="文本框 45" o:spid="_x0000_s2310" o:spt="202" type="#_x0000_t202" style="position:absolute;left:0pt;margin-left:226.8pt;margin-top:225.85pt;height:22.65pt;width:91.45pt;z-index:1415825408;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江苏宏耐地板</w:t>
                  </w:r>
                </w:p>
              </w:txbxContent>
            </v:textbox>
          </v:shape>
        </w:pict>
      </w:r>
      <w:r>
        <w:rPr>
          <w:rFonts w:hint="eastAsia" w:asciiTheme="minorEastAsia" w:hAnsiTheme="minorEastAsia" w:eastAsiaTheme="minorEastAsia" w:cstheme="minorEastAsia"/>
          <w:sz w:val="21"/>
        </w:rPr>
        <w:pict>
          <v:rect id="矩形 25" o:spid="_x0000_s2330" o:spt="1" style="position:absolute;left:0pt;margin-left:234.25pt;margin-top:205.65pt;height:19.4pt;width:61.8pt;z-index:377810944;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shape id="文本框 45" o:spid="_x0000_s2311" o:spt="202" type="#_x0000_t202" style="position:absolute;left:0pt;margin-left:232.1pt;margin-top:204.85pt;height:22.65pt;width:81.85pt;z-index:1022973952;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项目所在地</w:t>
                  </w:r>
                </w:p>
              </w:txbxContent>
            </v:textbox>
          </v:shape>
        </w:pict>
      </w:r>
      <w:r>
        <w:rPr>
          <w:rFonts w:hint="eastAsia" w:asciiTheme="minorEastAsia" w:hAnsiTheme="minorEastAsia" w:eastAsiaTheme="minorEastAsia" w:cstheme="minorEastAsia"/>
          <w:sz w:val="21"/>
        </w:rPr>
        <w:pict>
          <v:shape id="文本框 45" o:spid="_x0000_s2309" o:spt="202" type="#_x0000_t202" style="position:absolute;left:0pt;margin-left:243.65pt;margin-top:163.9pt;height:22.65pt;width:49.85pt;z-index:1808676864;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堆  场</w:t>
                  </w:r>
                </w:p>
              </w:txbxContent>
            </v:textbox>
          </v:shape>
        </w:pict>
      </w:r>
      <w:r>
        <w:rPr>
          <w:rFonts w:hint="eastAsia" w:asciiTheme="minorEastAsia" w:hAnsiTheme="minorEastAsia" w:eastAsiaTheme="minorEastAsia" w:cstheme="minorEastAsia"/>
          <w:sz w:val="21"/>
        </w:rPr>
        <w:pict>
          <v:rect id="矩形 25" o:spid="_x0000_s2333" o:spt="1" style="position:absolute;left:0pt;margin-left:232.9pt;margin-top:155.8pt;height:42.5pt;width:61.8pt;z-index:1186342912;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shape id="文本框 45" o:spid="_x0000_s2308" o:spt="202" type="#_x0000_t202" style="position:absolute;left:0pt;margin-left:144.2pt;margin-top:231.5pt;height:22.65pt;width:61.45pt;z-index:-1700587520;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圣象地板</w:t>
                  </w:r>
                </w:p>
              </w:txbxContent>
            </v:textbox>
          </v:shape>
        </w:pict>
      </w:r>
      <w:r>
        <w:rPr>
          <w:rFonts w:hint="eastAsia" w:asciiTheme="minorEastAsia" w:hAnsiTheme="minorEastAsia" w:eastAsiaTheme="minorEastAsia" w:cstheme="minorEastAsia"/>
          <w:sz w:val="21"/>
        </w:rPr>
        <w:pict>
          <v:rect id="矩形 25" o:spid="_x0000_s2332" o:spt="1" style="position:absolute;left:0pt;margin-left:122.65pt;margin-top:226.35pt;height:27.55pt;width:97.25pt;z-index:1994874880;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rect id="矩形 25" o:spid="_x0000_s2326" o:spt="1" style="position:absolute;left:0pt;margin-left:120.95pt;margin-top:155.85pt;height:62.3pt;width:99.3pt;z-index:-1921627136;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rect id="矩形 25" o:spid="_x0000_s2329" o:spt="1" style="position:absolute;left:0pt;margin-left:115.3pt;margin-top:146.1pt;height:112.75pt;width:187.25pt;z-index:2121028608;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line id="_x0000_s2328" o:spid="_x0000_s2328" o:spt="20" style="position:absolute;left:0pt;margin-left:24pt;margin-top:133.25pt;height:0.05pt;width:353.1pt;z-index:-304565248;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line id="_x0000_s2327" o:spid="_x0000_s2327" o:spt="20" style="position:absolute;left:0pt;margin-left:22.95pt;margin-top:112.6pt;height:0.05pt;width:353.85pt;z-index:2121029632;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shape id="文本框 45" o:spid="_x0000_s2338" o:spt="202" type="#_x0000_t202" style="position:absolute;left:0pt;margin-left:160.85pt;margin-top:113pt;height:22.65pt;width:115.25pt;z-index:168784896;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二 十 一 米 路</w:t>
                  </w:r>
                </w:p>
              </w:txbxContent>
            </v:textbox>
          </v:shape>
        </w:pict>
      </w:r>
      <w:r>
        <w:rPr>
          <w:rFonts w:hint="eastAsia" w:asciiTheme="minorEastAsia" w:hAnsiTheme="minorEastAsia" w:eastAsiaTheme="minorEastAsia" w:cstheme="minorEastAsia"/>
          <w:sz w:val="21"/>
        </w:rPr>
        <w:pict>
          <v:shape id="文本框 45" o:spid="_x0000_s2339" o:spt="202" type="#_x0000_t202" style="position:absolute;left:0pt;margin-left:205.8pt;margin-top:70.9pt;height:22.65pt;width:102.3pt;z-index:168784896;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九   曲    河</w:t>
                  </w:r>
                </w:p>
              </w:txbxContent>
            </v:textbox>
          </v:shape>
        </w:pict>
      </w:r>
      <w:r>
        <w:rPr>
          <w:rFonts w:hint="eastAsia" w:asciiTheme="minorEastAsia" w:hAnsiTheme="minorEastAsia" w:eastAsiaTheme="minorEastAsia" w:cstheme="minorEastAsia"/>
          <w:sz w:val="21"/>
        </w:rPr>
        <w:pict>
          <v:shape id="文本框 45" o:spid="_x0000_s2340" o:spt="202" type="#_x0000_t202" style="position:absolute;left:0pt;margin-left:65.35pt;margin-top:63.95pt;height:37.6pt;width:78.55pt;z-index:168784896;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大亚科技集团</w:t>
                  </w:r>
                </w:p>
                <w:p>
                  <w:pPr>
                    <w:rPr>
                      <w:rFonts w:hint="eastAsia" w:eastAsiaTheme="minorEastAsia"/>
                      <w:sz w:val="21"/>
                      <w:szCs w:val="21"/>
                      <w:lang w:val="en-US" w:eastAsia="zh-CN"/>
                    </w:rPr>
                  </w:pPr>
                  <w:r>
                    <w:rPr>
                      <w:rFonts w:hint="eastAsia" w:eastAsiaTheme="minorEastAsia"/>
                      <w:sz w:val="21"/>
                      <w:szCs w:val="21"/>
                      <w:lang w:val="en-US" w:eastAsia="zh-CN"/>
                    </w:rPr>
                    <w:t>有限公司</w:t>
                  </w:r>
                </w:p>
              </w:txbxContent>
            </v:textbox>
          </v:shape>
        </w:pict>
      </w:r>
      <w:r>
        <w:rPr>
          <w:rFonts w:hint="eastAsia" w:asciiTheme="minorEastAsia" w:hAnsiTheme="minorEastAsia" w:eastAsiaTheme="minorEastAsia" w:cstheme="minorEastAsia"/>
          <w:sz w:val="21"/>
        </w:rPr>
        <w:pict>
          <v:rect id="矩形 25" o:spid="_x0000_s2323" o:spt="1" style="position:absolute;left:0pt;margin-left:67.6pt;margin-top:60.55pt;height:42.5pt;width:75.45pt;z-index:630122496;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shape id="文本框 74" o:spid="_x0000_s2343" o:spt="202" type="#_x0000_t202" style="position:absolute;left:0pt;margin-left:139.2pt;margin-top:268.35pt;height:24.05pt;width:140.05pt;z-index:281364480;mso-width-relative:page;mso-height-relative:page;" filled="f" stroked="f" coordsize="21600,21600" o:gfxdata="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pm4XtsAAAAKAQAADwAAAAAAAAABACAAAAAiAAAAZHJzL2Rvd25yZXYueG1sUEsB&#10;AhQAFAAAAAgAh07iQK93RJYrAgAAJgQAAA4AAAAAAAAAAQAgAAAAKgEAAGRycy9lMm9Eb2MueG1s&#10;UEsFBgAAAAAGAAYAWQEAAMcFAAAAAA==&#10;">
            <v:path/>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122省道（机场路）</w:t>
                  </w:r>
                </w:p>
              </w:txbxContent>
            </v:textbox>
          </v:shape>
        </w:pict>
      </w:r>
      <w:r>
        <w:rPr>
          <w:rFonts w:hint="eastAsia" w:asciiTheme="minorEastAsia" w:hAnsiTheme="minorEastAsia" w:eastAsiaTheme="minorEastAsia" w:cstheme="minorEastAsia"/>
          <w:sz w:val="21"/>
        </w:rPr>
        <w:pict>
          <v:shape id="文本框 74" o:spid="_x0000_s2345" o:spt="202" type="#_x0000_t202" style="position:absolute;left:0pt;margin-left:251.45pt;margin-top:321.9pt;height:46.5pt;width:101.85pt;z-index:-2144230400;mso-width-relative:page;mso-height-relative:page;" filled="f" stroked="f" coordsize="21600,21600" o:gfxdata="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pm4XtsAAAAKAQAADwAAAAAAAAABACAAAAAiAAAAZHJzL2Rvd25yZXYueG1sUEsB&#10;AhQAFAAAAAgAh07iQK93RJYrAgAAJgQAAA4AAAAAAAAAAQAgAAAAKgEAAGRycy9lMm9Eb2MueG1s&#10;UEsFBgAAAAAGAAYAWQEAAMcFAAAAAA==&#10;">
            <v:path/>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大亚家具有限公司</w:t>
                  </w:r>
                </w:p>
              </w:txbxContent>
            </v:textbox>
          </v:shape>
        </w:pict>
      </w:r>
      <w:r>
        <w:rPr>
          <w:rFonts w:hint="eastAsia" w:asciiTheme="minorEastAsia" w:hAnsiTheme="minorEastAsia" w:eastAsiaTheme="minorEastAsia" w:cstheme="minorEastAsia"/>
          <w:sz w:val="21"/>
        </w:rPr>
        <w:pict>
          <v:shape id="文本框 74" o:spid="_x0000_s2344" o:spt="202" type="#_x0000_t202" style="position:absolute;left:0pt;margin-left:109.25pt;margin-top:317.4pt;height:46.5pt;width:101.85pt;z-index:281364480;mso-width-relative:page;mso-height-relative:page;" filled="f" stroked="f" coordsize="21600,21600" o:gfxdata="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pm4XtsAAAAKAQAADwAAAAAAAAABACAAAAAiAAAAZHJzL2Rvd25yZXYueG1sUEsB&#10;AhQAFAAAAAgAh07iQK93RJYrAgAAJgQAAA4AAAAAAAAAAQAgAAAAKgEAAGRycy9lMm9Eb2MueG1s&#10;UEsFBgAAAAAGAAYAWQEAAMcFAAAAAA==&#10;">
            <v:path/>
            <v:fill on="f" focussize="0,0"/>
            <v:stroke on="f" weight="0.5pt"/>
            <v:imagedata o:title=""/>
            <o:lock v:ext="edit" aspectratio="f"/>
            <v:textbox>
              <w:txbxContent>
                <w:p>
                  <w:pPr>
                    <w:rPr>
                      <w:rFonts w:hint="eastAsia"/>
                      <w:lang w:val="en-US" w:eastAsia="zh-CN"/>
                    </w:rPr>
                  </w:pPr>
                  <w:r>
                    <w:rPr>
                      <w:rFonts w:hint="eastAsia"/>
                      <w:lang w:val="en-US" w:eastAsia="zh-CN"/>
                    </w:rPr>
                    <w:t>大亚科技股份</w:t>
                  </w:r>
                </w:p>
                <w:p>
                  <w:pPr>
                    <w:rPr>
                      <w:rFonts w:hint="eastAsia" w:eastAsiaTheme="minorEastAsia"/>
                      <w:lang w:val="en-US" w:eastAsia="zh-CN"/>
                    </w:rPr>
                  </w:pPr>
                  <w:r>
                    <w:rPr>
                      <w:rFonts w:hint="eastAsia"/>
                      <w:lang w:val="en-US" w:eastAsia="zh-CN"/>
                    </w:rPr>
                    <w:t>有限公司</w:t>
                  </w:r>
                </w:p>
              </w:txbxContent>
            </v:textbox>
          </v:shape>
        </w:pict>
      </w:r>
      <w:r>
        <w:rPr>
          <w:rFonts w:hint="eastAsia" w:asciiTheme="minorEastAsia" w:hAnsiTheme="minorEastAsia" w:eastAsiaTheme="minorEastAsia" w:cstheme="minorEastAsia"/>
          <w:sz w:val="21"/>
        </w:rPr>
        <w:pict>
          <v:line id="_x0000_s2315" o:spid="_x0000_s2315" o:spt="20" style="position:absolute;left:0pt;margin-left:18.85pt;margin-top:290.1pt;height:0.05pt;width:32pt;z-index:-304564224;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shape id="文本框 45" o:spid="_x0000_s2342" o:spt="202" type="#_x0000_t202" style="position:absolute;left:0pt;margin-left:321.5pt;margin-top:194.5pt;height:22.65pt;width:61.45pt;z-index:2038157312;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空  地</w:t>
                  </w:r>
                </w:p>
              </w:txbxContent>
            </v:textbox>
          </v:shape>
        </w:pict>
      </w:r>
      <w:r>
        <w:rPr>
          <w:rFonts w:hint="eastAsia" w:asciiTheme="minorEastAsia" w:hAnsiTheme="minorEastAsia" w:eastAsiaTheme="minorEastAsia" w:cstheme="minorEastAsia"/>
          <w:sz w:val="21"/>
        </w:rPr>
        <w:pict>
          <v:shape id="文本框 45" o:spid="_x0000_s2341" o:spt="202" type="#_x0000_t202" style="position:absolute;left:0pt;margin-left:53.15pt;margin-top:194.1pt;height:22.65pt;width:61.45pt;z-index:168784896;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21"/>
                      <w:szCs w:val="21"/>
                      <w:lang w:val="en-US" w:eastAsia="zh-CN"/>
                    </w:rPr>
                    <w:t>空  地</w:t>
                  </w:r>
                </w:p>
              </w:txbxContent>
            </v:textbox>
          </v:shape>
        </w:pict>
      </w:r>
      <w:r>
        <w:rPr>
          <w:rFonts w:hint="eastAsia" w:asciiTheme="minorEastAsia" w:hAnsiTheme="minorEastAsia" w:eastAsiaTheme="minorEastAsia" w:cstheme="minorEastAsia"/>
          <w:sz w:val="21"/>
        </w:rPr>
        <w:pict>
          <v:shape id="文本框 45" o:spid="_x0000_s2307" o:spt="202" type="#_x0000_t202" style="position:absolute;left:0pt;margin-left:129.7pt;margin-top:168.35pt;height:51.95pt;width:87.3pt;z-index:-2093438976;mso-width-relative:page;mso-height-relative:page;" filled="f" stroked="f" coordsize="21600,21600"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v:path/>
            <v:fill on="f" focussize="0,0"/>
            <v:stroke on="f" weight="0.5pt"/>
            <v:imagedata o:title=""/>
            <o:lock v:ext="edit" aspectratio="f"/>
            <v:textbox>
              <w:txbxContent>
                <w:p>
                  <w:pPr>
                    <w:rPr>
                      <w:rFonts w:hint="eastAsia" w:eastAsiaTheme="minorEastAsia"/>
                      <w:sz w:val="21"/>
                      <w:szCs w:val="21"/>
                      <w:lang w:val="en-US" w:eastAsia="zh-CN"/>
                    </w:rPr>
                  </w:pPr>
                  <w:r>
                    <w:rPr>
                      <w:rFonts w:hint="eastAsia" w:eastAsiaTheme="minorEastAsia"/>
                      <w:sz w:val="16"/>
                      <w:szCs w:val="16"/>
                      <w:lang w:val="en-US" w:eastAsia="zh-CN"/>
                    </w:rPr>
                    <w:t xml:space="preserve"> </w:t>
                  </w:r>
                  <w:r>
                    <w:rPr>
                      <w:rFonts w:hint="eastAsia" w:eastAsiaTheme="minorEastAsia"/>
                      <w:sz w:val="21"/>
                      <w:szCs w:val="21"/>
                      <w:lang w:val="en-US" w:eastAsia="zh-CN"/>
                    </w:rPr>
                    <w:t xml:space="preserve"> 大亚人造板</w:t>
                  </w:r>
                </w:p>
                <w:p>
                  <w:pPr>
                    <w:rPr>
                      <w:rFonts w:hint="eastAsia" w:eastAsiaTheme="minorEastAsia"/>
                      <w:sz w:val="21"/>
                      <w:szCs w:val="21"/>
                      <w:lang w:val="en-US" w:eastAsia="zh-CN"/>
                    </w:rPr>
                  </w:pPr>
                  <w:r>
                    <w:rPr>
                      <w:rFonts w:hint="eastAsia" w:eastAsiaTheme="minorEastAsia"/>
                      <w:sz w:val="21"/>
                      <w:szCs w:val="21"/>
                      <w:lang w:val="en-US" w:eastAsia="zh-CN"/>
                    </w:rPr>
                    <w:t xml:space="preserve"> 集团有限公司</w:t>
                  </w:r>
                </w:p>
              </w:txbxContent>
            </v:textbox>
          </v:shape>
        </w:pict>
      </w:r>
      <w:r>
        <w:rPr>
          <w:rFonts w:hint="eastAsia" w:asciiTheme="minorEastAsia" w:hAnsiTheme="minorEastAsia" w:eastAsiaTheme="minorEastAsia" w:cstheme="minorEastAsia"/>
          <w:sz w:val="21"/>
        </w:rPr>
        <w:pict>
          <v:line id="_x0000_s2312" o:spid="_x0000_s2312" o:spt="20" style="position:absolute;left:0pt;margin-left:392.45pt;margin-top:290pt;height:160.2pt;width:0.05pt;z-index:-1038538752;mso-width-relative:page;mso-height-relative:page;" fillcolor="#FFFFFF" filled="t" stroked="t" coordsize="21600,21600">
            <v:path arrowok="t"/>
            <v:fill on="t" color2="#FFFFFF" focussize="0,0"/>
            <v:stroke color="#000000"/>
            <v:imagedata o:title=""/>
            <o:lock v:ext="edit" aspectratio="f"/>
          </v:line>
        </w:pict>
      </w:r>
      <w:r>
        <w:rPr>
          <w:rFonts w:hint="eastAsia" w:asciiTheme="minorEastAsia" w:hAnsiTheme="minorEastAsia" w:eastAsiaTheme="minorEastAsia" w:cstheme="minorEastAsia"/>
          <w:sz w:val="21"/>
        </w:rPr>
        <w:pict>
          <v:line id="_x0000_s2313" o:spid="_x0000_s2313" o:spt="20" style="position:absolute;left:0pt;margin-left:392pt;margin-top:289.85pt;height:0.05pt;width:25.35pt;z-index:-1038542848;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line id="_x0000_s2314" o:spid="_x0000_s2314" o:spt="20" style="position:absolute;left:0pt;margin-left:50.2pt;margin-top:290.1pt;height:160.2pt;width:0.05pt;z-index:-304563200;mso-width-relative:page;mso-height-relative:page;" fillcolor="#FFFFFF" filled="t" stroked="t" coordsize="21600,21600">
            <v:path arrowok="t"/>
            <v:fill on="t" color2="#FFFFFF" focussize="0,0"/>
            <v:stroke color="#000000"/>
            <v:imagedata o:title=""/>
            <o:lock v:ext="edit" aspectratio="f"/>
          </v:line>
        </w:pict>
      </w:r>
      <w:r>
        <w:rPr>
          <w:rFonts w:hint="eastAsia" w:asciiTheme="minorEastAsia" w:hAnsiTheme="minorEastAsia" w:eastAsiaTheme="minorEastAsia" w:cstheme="minorEastAsia"/>
          <w:sz w:val="21"/>
        </w:rPr>
        <w:pict>
          <v:rect id="矩形 25" o:spid="_x0000_s2316" o:spt="1" style="position:absolute;left:0pt;margin-left:248.4pt;margin-top:307.4pt;height:62.3pt;width:99.3pt;z-index:-1921627136;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rect id="矩形 25" o:spid="_x0000_s2317" o:spt="1" style="position:absolute;left:0pt;margin-left:91.9pt;margin-top:307.65pt;height:62.3pt;width:99.3pt;z-index:-1365406720;v-text-anchor:middle;mso-width-relative:page;mso-height-relative:page;" filled="f" stroked="t" coordsize="21600,21600">
            <v:path/>
            <v:fill on="f" focussize="0,0"/>
            <v:stroke weight="0.5pt" color="#000000" joinstyle="round"/>
            <v:imagedata o:title=""/>
            <o:lock v:ext="edit" aspectratio="f"/>
          </v:rect>
        </w:pict>
      </w:r>
      <w:r>
        <w:rPr>
          <w:rFonts w:hint="eastAsia" w:asciiTheme="minorEastAsia" w:hAnsiTheme="minorEastAsia" w:eastAsiaTheme="minorEastAsia" w:cstheme="minorEastAsia"/>
          <w:sz w:val="21"/>
        </w:rPr>
        <w:pict>
          <v:line id="_x0000_s2318" o:spid="_x0000_s2318" o:spt="20" style="position:absolute;left:0pt;margin-left:75.8pt;margin-top:289.25pt;height:160.2pt;width:0.05pt;z-index:-860783616;mso-width-relative:page;mso-height-relative:page;" fillcolor="#FFFFFF" filled="t" stroked="t" coordsize="21600,21600">
            <v:path arrowok="t"/>
            <v:fill on="t" color2="#FFFFFF" focussize="0,0"/>
            <v:stroke color="#000000"/>
            <v:imagedata o:title=""/>
            <o:lock v:ext="edit" aspectratio="f"/>
          </v:line>
        </w:pict>
      </w:r>
      <w:r>
        <w:rPr>
          <w:rFonts w:hint="eastAsia" w:asciiTheme="minorEastAsia" w:hAnsiTheme="minorEastAsia" w:eastAsiaTheme="minorEastAsia" w:cstheme="minorEastAsia"/>
          <w:sz w:val="21"/>
        </w:rPr>
        <w:pict>
          <v:line id="_x0000_s2319" o:spid="_x0000_s2319" o:spt="20" style="position:absolute;left:0pt;margin-left:210.55pt;margin-top:290.15pt;height:160.2pt;width:0.05pt;z-index:-1417004032;mso-width-relative:page;mso-height-relative:page;" fillcolor="#FFFFFF" filled="t" stroked="t" coordsize="21600,21600">
            <v:path arrowok="t"/>
            <v:fill on="t" color2="#FFFFFF" focussize="0,0"/>
            <v:stroke color="#000000"/>
            <v:imagedata o:title=""/>
            <o:lock v:ext="edit" aspectratio="f"/>
          </v:line>
        </w:pict>
      </w:r>
      <w:r>
        <w:rPr>
          <w:rFonts w:hint="eastAsia" w:asciiTheme="minorEastAsia" w:hAnsiTheme="minorEastAsia" w:eastAsiaTheme="minorEastAsia" w:cstheme="minorEastAsia"/>
          <w:sz w:val="21"/>
        </w:rPr>
        <w:pict>
          <v:line id="_x0000_s2320" o:spid="_x0000_s2320" o:spt="20" style="position:absolute;left:0pt;margin-left:75.55pt;margin-top:289.75pt;height:0.05pt;width:135.05pt;z-index:-860787712;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line id="_x0000_s2321" o:spid="_x0000_s2321" o:spt="20" style="position:absolute;left:0pt;margin-left:233.55pt;margin-top:289.5pt;height:0.05pt;width:134.35pt;z-index:-1417008128;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line id="_x0000_s2322" o:spid="_x0000_s2322" o:spt="20" style="position:absolute;left:0pt;margin-left:367.8pt;margin-top:289.3pt;height:160.2pt;width:0.05pt;z-index:-1038538752;mso-width-relative:page;mso-height-relative:page;" fillcolor="#FFFFFF" filled="t" stroked="t" coordsize="21600,21600">
            <v:path arrowok="t"/>
            <v:fill on="t" color2="#FFFFFF" focussize="0,0"/>
            <v:stroke color="#000000"/>
            <v:imagedata o:title=""/>
            <o:lock v:ext="edit" aspectratio="f"/>
          </v:line>
        </w:pict>
      </w:r>
      <w:r>
        <w:rPr>
          <w:rFonts w:hint="eastAsia" w:asciiTheme="minorEastAsia" w:hAnsiTheme="minorEastAsia" w:eastAsiaTheme="minorEastAsia" w:cstheme="minorEastAsia"/>
          <w:sz w:val="21"/>
        </w:rPr>
        <w:pict>
          <v:line id="_x0000_s2324" o:spid="_x0000_s2324" o:spt="20" style="position:absolute;left:0pt;margin-left:19pt;margin-top:272.05pt;height:0.05pt;width:398.1pt;z-index:-860787712;mso-width-relative:page;mso-height-relative:page;" filled="f" stroked="t" coordsize="21600,21600">
            <v:path arrowok="t"/>
            <v:fill on="f" focussize="0,0"/>
            <v:stroke color="#000000"/>
            <v:imagedata o:title=""/>
            <o:lock v:ext="edit" aspectratio="f"/>
          </v:line>
        </w:pict>
      </w:r>
      <w:r>
        <w:rPr>
          <w:rFonts w:hint="eastAsia" w:asciiTheme="minorEastAsia" w:hAnsiTheme="minorEastAsia" w:eastAsiaTheme="minorEastAsia" w:cstheme="minorEastAsia"/>
          <w:sz w:val="21"/>
        </w:rPr>
        <w:pict>
          <v:line id="_x0000_s2325" o:spid="_x0000_s2325" o:spt="20" style="position:absolute;left:0pt;margin-left:233.5pt;margin-top:289.95pt;height:160.2pt;width:0.05pt;z-index:-1973224448;mso-width-relative:page;mso-height-relative:page;" fillcolor="#FFFFFF" filled="t" stroked="t" coordsize="21600,21600">
            <v:path arrowok="t"/>
            <v:fill on="t" color2="#FFFFFF" focussize="0,0"/>
            <v:stroke color="#000000"/>
            <v:imagedata o:title=""/>
            <o:lock v:ext="edit" aspectratio="f"/>
          </v:line>
        </w:pict>
      </w:r>
    </w:p>
    <w:p>
      <w:pPr>
        <w:spacing w:line="360" w:lineRule="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rPr>
        <w:pict>
          <v:shape id="_x0000_i1034" o:spt="75" alt="QQ截图20161216222217" type="#_x0000_t75" style="height:319.5pt;width:697.15pt;" filled="f" o:preferrelative="t" stroked="f" coordsize="21600,21600">
            <v:path/>
            <v:fill on="f" focussize="0,0"/>
            <v:stroke on="f"/>
            <v:imagedata r:id="rId23" o:title="QQ截图20161216222217"/>
            <o:lock v:ext="edit" aspectratio="t"/>
            <w10:wrap type="none"/>
            <w10:anchorlock/>
          </v:shape>
        </w:pict>
      </w:r>
    </w:p>
    <w:p>
      <w:pPr>
        <w:spacing w:line="360" w:lineRule="auto"/>
        <w:rPr>
          <w:rFonts w:hint="eastAsia" w:asciiTheme="minorEastAsia" w:hAnsiTheme="minorEastAsia" w:eastAsiaTheme="minorEastAsia" w:cstheme="minorEastAsia"/>
          <w:color w:val="000000"/>
          <w:sz w:val="28"/>
          <w:szCs w:val="28"/>
          <w:lang w:eastAsia="zh-CN"/>
        </w:rPr>
      </w:pPr>
    </w:p>
    <w:p>
      <w:pPr>
        <w:jc w:val="center"/>
        <w:rPr>
          <w:rStyle w:val="19"/>
          <w:rFonts w:hint="eastAsia" w:asciiTheme="minorEastAsia" w:hAnsiTheme="minorEastAsia" w:eastAsiaTheme="minorEastAsia" w:cstheme="minorEastAsia"/>
          <w:color w:val="auto"/>
          <w:sz w:val="28"/>
          <w:szCs w:val="28"/>
          <w:highlight w:val="none"/>
          <w:u w:val="none"/>
        </w:rPr>
      </w:pPr>
      <w:r>
        <w:rPr>
          <w:rStyle w:val="19"/>
          <w:rFonts w:hint="eastAsia" w:asciiTheme="minorEastAsia" w:hAnsiTheme="minorEastAsia" w:eastAsiaTheme="minorEastAsia" w:cstheme="minorEastAsia"/>
          <w:color w:val="auto"/>
          <w:sz w:val="28"/>
          <w:szCs w:val="28"/>
          <w:highlight w:val="none"/>
          <w:u w:val="none"/>
        </w:rPr>
        <w:t>附图3：建设项目总平面布置图</w:t>
      </w:r>
    </w:p>
    <w:p>
      <w:pPr>
        <w:pStyle w:val="14"/>
        <w:ind w:firstLine="560" w:firstLineChars="200"/>
        <w:jc w:val="center"/>
        <w:rPr>
          <w:rStyle w:val="19"/>
          <w:rFonts w:hint="eastAsia" w:asciiTheme="minorEastAsia" w:hAnsiTheme="minorEastAsia" w:eastAsiaTheme="minorEastAsia" w:cstheme="minorEastAsia"/>
          <w:color w:val="auto"/>
          <w:sz w:val="28"/>
          <w:szCs w:val="28"/>
          <w:u w:val="none"/>
        </w:rPr>
      </w:pPr>
    </w:p>
    <w:p>
      <w:pPr>
        <w:spacing w:line="360" w:lineRule="auto"/>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pict>
          <v:group id="_x0000_s2557" o:spid="_x0000_s2557" o:spt="203" style="position:absolute;left:0pt;margin-left:622.45pt;margin-top:-14.4pt;height:81.05pt;width:67.2pt;z-index:1961961472;mso-width-relative:page;mso-height-relative:page;" coordorigin="9242,13965" coordsize="1344,1621">
            <o:lock v:ext="edit"/>
            <v:shape id="_x0000_s2558" o:spid="_x0000_s2558" o:spt="75" type="#_x0000_t75" style="position:absolute;left:9242;top:14236;height:1350;width:1344;" o:ole="t" filled="t" o:preferrelative="t" stroked="t" coordsize="21600,21600">
              <v:path/>
              <v:fill on="t" focussize="0,0"/>
              <v:stroke color="#FFFFFF" joinstyle="miter"/>
              <v:imagedata r:id="rId20" cropleft="28277f" croptop="12641f" cropright="20592f" cropbottom="26443f" o:title=""/>
              <o:lock v:ext="edit" aspectratio="t"/>
            </v:shape>
            <v:shape id="_x0000_s2559" o:spid="_x0000_s2559" o:spt="202" type="#_x0000_t202" style="position:absolute;left:9587;top:13965;height:624;width:540;" filled="f" stroked="f" coordsize="21600,21600">
              <v:path/>
              <v:fill on="f" focussize="0,0"/>
              <v:stroke on="f" joinstyle="miter"/>
              <v:imagedata o:title=""/>
              <o:lock v:ext="edit"/>
              <v:textbox>
                <w:txbxContent>
                  <w:p>
                    <w:r>
                      <w:t>N</w:t>
                    </w:r>
                  </w:p>
                </w:txbxContent>
              </v:textbox>
            </v:shape>
          </v:group>
          <o:OLEObject Type="Embed" ProgID="Unknown" ShapeID="_x0000_s2558" DrawAspect="Content" ObjectID="_1468075728" r:id="rId24">
            <o:LockedField>false</o:LockedField>
          </o:OLEObject>
        </w:pict>
      </w:r>
      <w:r>
        <w:rPr>
          <w:rFonts w:hint="eastAsia" w:asciiTheme="minorEastAsia" w:hAnsiTheme="minorEastAsia" w:eastAsiaTheme="minorEastAsia" w:cstheme="minorEastAsia"/>
        </w:rPr>
        <w:pict>
          <v:rect id="_x0000_s2457" o:spid="_x0000_s2457" o:spt="1" style="position:absolute;left:0pt;margin-left:227.2pt;margin-top:404.7pt;height:37.65pt;width:253.85pt;z-index:268872704;mso-width-relative:page;mso-height-relative:page;" fillcolor="#FFFFFF" filled="t" stroked="f" coordsize="21600,21600">
            <v:path/>
            <v:fill on="t" color2="#FFFFFF" focussize="0,0"/>
            <v:stroke on="f"/>
            <v:imagedata o:title=""/>
            <o:lock v:ext="edit" aspectratio="f"/>
            <v:textbox>
              <w:txbxContent>
                <w:p>
                  <w:pPr>
                    <w:rPr>
                      <w:rStyle w:val="19"/>
                      <w:rFonts w:hint="eastAsia" w:asciiTheme="minorEastAsia" w:hAnsiTheme="minorEastAsia" w:eastAsiaTheme="minorEastAsia" w:cstheme="minorEastAsia"/>
                      <w:color w:val="auto"/>
                      <w:sz w:val="28"/>
                      <w:szCs w:val="28"/>
                      <w:u w:val="none"/>
                    </w:rPr>
                  </w:pPr>
                  <w:r>
                    <w:rPr>
                      <w:rStyle w:val="19"/>
                      <w:rFonts w:hint="eastAsia" w:asciiTheme="minorEastAsia" w:hAnsiTheme="minorEastAsia" w:eastAsiaTheme="minorEastAsia" w:cstheme="minorEastAsia"/>
                      <w:color w:val="auto"/>
                      <w:sz w:val="28"/>
                      <w:szCs w:val="28"/>
                      <w:u w:val="none"/>
                    </w:rPr>
                    <w:t>附图</w:t>
                  </w:r>
                  <w:r>
                    <w:rPr>
                      <w:rStyle w:val="19"/>
                      <w:rFonts w:hint="eastAsia" w:asciiTheme="minorEastAsia" w:hAnsiTheme="minorEastAsia" w:eastAsiaTheme="minorEastAsia" w:cstheme="minorEastAsia"/>
                      <w:color w:val="auto"/>
                      <w:sz w:val="28"/>
                      <w:szCs w:val="28"/>
                      <w:u w:val="none"/>
                      <w:lang w:val="en-US" w:eastAsia="zh-CN"/>
                    </w:rPr>
                    <w:t>4</w:t>
                  </w:r>
                  <w:r>
                    <w:rPr>
                      <w:rStyle w:val="19"/>
                      <w:rFonts w:hint="eastAsia" w:asciiTheme="minorEastAsia" w:hAnsiTheme="minorEastAsia" w:eastAsiaTheme="minorEastAsia" w:cstheme="minorEastAsia"/>
                      <w:color w:val="auto"/>
                      <w:sz w:val="28"/>
                      <w:szCs w:val="28"/>
                      <w:u w:val="none"/>
                    </w:rPr>
                    <w:t xml:space="preserve"> </w:t>
                  </w:r>
                  <w:r>
                    <w:rPr>
                      <w:rStyle w:val="19"/>
                      <w:rFonts w:hint="eastAsia" w:asciiTheme="minorEastAsia" w:hAnsiTheme="minorEastAsia" w:eastAsiaTheme="minorEastAsia" w:cstheme="minorEastAsia"/>
                      <w:color w:val="auto"/>
                      <w:sz w:val="28"/>
                      <w:szCs w:val="28"/>
                      <w:u w:val="none"/>
                      <w:lang w:val="en-US" w:eastAsia="zh-CN"/>
                    </w:rPr>
                    <w:t>建设</w:t>
                  </w:r>
                  <w:r>
                    <w:rPr>
                      <w:rStyle w:val="19"/>
                      <w:rFonts w:hint="eastAsia" w:asciiTheme="minorEastAsia" w:hAnsiTheme="minorEastAsia" w:eastAsiaTheme="minorEastAsia" w:cstheme="minorEastAsia"/>
                      <w:color w:val="auto"/>
                      <w:sz w:val="28"/>
                      <w:szCs w:val="28"/>
                      <w:u w:val="none"/>
                    </w:rPr>
                    <w:t>项目区域水系分布图</w:t>
                  </w:r>
                </w:p>
              </w:txbxContent>
            </v:textbox>
          </v:rect>
        </w:pict>
      </w:r>
      <w:r>
        <w:rPr>
          <w:rFonts w:hint="eastAsia" w:asciiTheme="minorEastAsia" w:hAnsiTheme="minorEastAsia" w:eastAsiaTheme="minorEastAsia" w:cstheme="minorEastAsia"/>
        </w:rPr>
        <w:pict>
          <v:shape id="_x0000_s2456" o:spid="_x0000_s2456" o:spt="202" type="#_x0000_t202" style="position:absolute;left:0pt;margin-left:540.3pt;margin-top:340pt;height:79.85pt;width:161.25pt;z-index:2133552128;mso-width-relative:page;mso-height-relative:page;" stroked="t" coordsize="21600,21600">
            <v:path/>
            <v:fill focussize="0,0"/>
            <v:stroke weight="1.5pt"/>
            <v:imagedata o:title=""/>
            <o:lock v:ext="edit"/>
            <v:textbox>
              <w:txbxContent>
                <w:p>
                  <w:pPr>
                    <w:spacing w:line="360" w:lineRule="auto"/>
                    <w:jc w:val="center"/>
                    <w:rPr>
                      <w:rFonts w:eastAsia="仿宋_GB2312"/>
                      <w:b/>
                      <w:sz w:val="24"/>
                    </w:rPr>
                  </w:pPr>
                  <w:r>
                    <w:rPr>
                      <w:rFonts w:eastAsia="仿宋_GB2312"/>
                      <w:b/>
                      <w:sz w:val="24"/>
                    </w:rPr>
                    <w:t>图例</w:t>
                  </w:r>
                </w:p>
                <w:p>
                  <w:pPr>
                    <w:numPr>
                      <w:ilvl w:val="0"/>
                      <w:numId w:val="4"/>
                    </w:numPr>
                    <w:spacing w:line="400" w:lineRule="exact"/>
                    <w:ind w:left="-6" w:leftChars="-31" w:hanging="59" w:hangingChars="28"/>
                    <w:rPr>
                      <w:rFonts w:hint="eastAsia" w:eastAsia="仿宋_GB2312"/>
                    </w:rPr>
                  </w:pPr>
                  <w:r>
                    <w:rPr>
                      <w:rFonts w:hint="eastAsia" w:eastAsia="仿宋_GB2312"/>
                    </w:rPr>
                    <w:t>水质监测断面</w:t>
                  </w:r>
                </w:p>
                <w:p>
                  <w:pPr>
                    <w:spacing w:line="400" w:lineRule="exact"/>
                    <w:ind w:left="-65"/>
                    <w:rPr>
                      <w:rFonts w:hint="eastAsia" w:eastAsia="仿宋_GB2312"/>
                    </w:rPr>
                  </w:pPr>
                  <w:r>
                    <w:rPr>
                      <w:rFonts w:eastAsia="仿宋_GB2312"/>
                    </w:rPr>
                    <w:pict>
                      <v:shape id="_x0000_i1035" o:spt="75" type="#_x0000_t75" style="height:8.55pt;width:9.8pt;" filled="f" stroked="f" coordsize="21600,21600">
                        <v:path/>
                        <v:fill on="f" focussize="0,0"/>
                        <v:stroke on="f"/>
                        <v:imagedata r:id="rId25" o:title=""/>
                        <o:lock v:ext="edit" aspectratio="t"/>
                        <w10:wrap type="none"/>
                        <w10:anchorlock/>
                      </v:shape>
                    </w:pict>
                  </w:r>
                  <w:r>
                    <w:rPr>
                      <w:rFonts w:hint="eastAsia" w:eastAsia="仿宋_GB2312"/>
                    </w:rPr>
                    <w:t>丹阳市开发区沃特污水处理厂</w:t>
                  </w:r>
                </w:p>
              </w:txbxContent>
            </v:textbox>
          </v:shape>
        </w:pict>
      </w:r>
      <w:r>
        <w:rPr>
          <w:rFonts w:hint="eastAsia" w:asciiTheme="minorEastAsia" w:hAnsiTheme="minorEastAsia" w:eastAsiaTheme="minorEastAsia" w:cstheme="minorEastAsia"/>
        </w:rPr>
        <w:pict>
          <v:shape id="_x0000_s2455" o:spid="_x0000_s2455" o:spt="62" type="#_x0000_t62" style="position:absolute;left:0pt;flip:x;margin-left:413.7pt;margin-top:159.05pt;height:22.7pt;width:99pt;z-index:2133442560;mso-width-relative:page;mso-height-relative:page;" coordsize="21600,21600" adj="25669,90348">
            <v:path/>
            <v:fill focussize="0,0"/>
            <v:stroke/>
            <v:imagedata o:title=""/>
            <o:lock v:ext="edit"/>
            <o:callout minusx="t" minusy="t"/>
            <v:textbox>
              <w:txbxContent>
                <w:p>
                  <w:pPr>
                    <w:spacing w:line="240" w:lineRule="atLeast"/>
                    <w:jc w:val="center"/>
                    <w:rPr>
                      <w:rFonts w:hint="eastAsia"/>
                      <w:b/>
                      <w:sz w:val="24"/>
                    </w:rPr>
                  </w:pPr>
                  <w:r>
                    <w:rPr>
                      <w:rFonts w:hint="eastAsia"/>
                      <w:b/>
                      <w:sz w:val="24"/>
                    </w:rPr>
                    <w:t>本项目所在地</w:t>
                  </w:r>
                </w:p>
              </w:txbxContent>
            </v:textbox>
          </v:shape>
        </w:pict>
      </w:r>
      <w:r>
        <w:rPr>
          <w:rFonts w:hint="eastAsia" w:asciiTheme="minorEastAsia" w:hAnsiTheme="minorEastAsia" w:eastAsiaTheme="minorEastAsia" w:cstheme="minorEastAsia"/>
        </w:rPr>
        <w:pict>
          <v:shape id="_x0000_s2454" o:spid="_x0000_s2454" o:spt="202" type="#_x0000_t202" style="position:absolute;left:0pt;margin-left:384.35pt;margin-top:256.05pt;height:5.1pt;width:6.25pt;z-index:2133319680;mso-width-relative:page;mso-height-relative:page;" fillcolor="#FF0000" filled="t" coordsize="21600,21600">
            <v:path/>
            <v:fill on="t" focussize="0,0"/>
            <v:stroke/>
            <v:imagedata o:title=""/>
            <o:lock v:ext="edit"/>
            <v:textbox>
              <w:txbxContent>
                <w:p>
                  <w:r>
                    <w:pict>
                      <v:shape id="_x0000_i1036" o:spt="75" type="#_x0000_t75" style="height:0.4pt;width:0.5pt;" filled="f" stroked="f" coordsize="21600,21600">
                        <v:path/>
                        <v:fill on="f" focussize="0,0"/>
                        <v:stroke on="f"/>
                        <v:imagedata r:id="rId26" o:title=""/>
                        <o:lock v:ext="edit" aspectratio="t"/>
                        <w10:wrap type="none"/>
                        <w10:anchorlock/>
                      </v:shape>
                    </w:pict>
                  </w:r>
                </w:p>
              </w:txbxContent>
            </v:textbox>
          </v:shape>
        </w:pict>
      </w:r>
      <w:r>
        <w:rPr>
          <w:rFonts w:hint="eastAsia" w:asciiTheme="minorEastAsia" w:hAnsiTheme="minorEastAsia" w:eastAsiaTheme="minorEastAsia" w:cstheme="minorEastAsia"/>
        </w:rPr>
        <w:pict>
          <v:group id="_x0000_s2448" o:spid="_x0000_s2448" o:spt="203" style="position:absolute;left:0pt;margin-left:320.9pt;margin-top:291.3pt;height:15.6pt;width:27pt;rotation:-24669574f;z-index:2133195776;mso-width-relative:page;mso-height-relative:page;" coordorigin="7254,7530" coordsize="720,312">
            <o:lock v:ext="edit"/>
            <v:line id="_x0000_s2449" o:spid="_x0000_s2449" o:spt="20" style="position:absolute;left:7434;top:7686;height:0;width:360;" filled="f" stroked="t" coordsize="21600,21600">
              <v:path arrowok="t"/>
              <v:fill on="f" focussize="0,0"/>
              <v:stroke weight="2pt" color="#FF0000"/>
              <v:imagedata o:title=""/>
              <o:lock v:ext="edit"/>
            </v:line>
            <v:line id="_x0000_s2450" o:spid="_x0000_s2450" o:spt="20" style="position:absolute;left:7794;top:7530;flip:y;height:156;width:180;" filled="f" stroked="t" coordsize="21600,21600">
              <v:path arrowok="t"/>
              <v:fill on="f" focussize="0,0"/>
              <v:stroke weight="2pt" color="#FF0000"/>
              <v:imagedata o:title=""/>
              <o:lock v:ext="edit"/>
            </v:line>
            <v:line id="_x0000_s2451" o:spid="_x0000_s2451" o:spt="20" style="position:absolute;left:7794;top:7686;height:156;width:180;" filled="f" stroked="t" coordsize="21600,21600">
              <v:path arrowok="t"/>
              <v:fill on="f" focussize="0,0"/>
              <v:stroke weight="2pt" color="#FF0000"/>
              <v:imagedata o:title=""/>
              <o:lock v:ext="edit"/>
            </v:line>
            <v:line id="_x0000_s2452" o:spid="_x0000_s2452" o:spt="20" style="position:absolute;left:7254;top:7530;height:156;width:180;" filled="f" stroked="t" coordsize="21600,21600">
              <v:path arrowok="t"/>
              <v:fill on="f" focussize="0,0"/>
              <v:stroke weight="2pt" color="#FF0000"/>
              <v:imagedata o:title=""/>
              <o:lock v:ext="edit"/>
            </v:line>
            <v:line id="_x0000_s2453" o:spid="_x0000_s2453" o:spt="20" style="position:absolute;left:7254;top:7686;flip:y;height:156;width:180;" filled="f" stroked="t" coordsize="21600,21600">
              <v:path arrowok="t"/>
              <v:fill on="f" focussize="0,0"/>
              <v:stroke weight="2pt" color="#FF0000"/>
              <v:imagedata o:title=""/>
              <o:lock v:ext="edit"/>
            </v:line>
          </v:group>
        </w:pict>
      </w:r>
      <w:r>
        <w:rPr>
          <w:rFonts w:hint="eastAsia" w:asciiTheme="minorEastAsia" w:hAnsiTheme="minorEastAsia" w:eastAsiaTheme="minorEastAsia" w:cstheme="minorEastAsia"/>
        </w:rPr>
        <w:pict>
          <v:group id="_x0000_s2435" o:spid="_x0000_s2435" o:spt="203" style="position:absolute;left:0pt;margin-left:255.3pt;margin-top:67.95pt;height:15.6pt;width:27pt;rotation:-24282509f;z-index:2132847616;mso-width-relative:page;mso-height-relative:page;" coordorigin="7254,7530" coordsize="720,312">
            <o:lock v:ext="edit"/>
            <v:line id="_x0000_s2436" o:spid="_x0000_s2436" o:spt="20" style="position:absolute;left:7434;top:7686;height:0;width:360;" filled="f" stroked="t" coordsize="21600,21600">
              <v:path arrowok="t"/>
              <v:fill on="f" focussize="0,0"/>
              <v:stroke weight="2pt" color="#FF0000"/>
              <v:imagedata o:title=""/>
              <o:lock v:ext="edit"/>
            </v:line>
            <v:line id="_x0000_s2437" o:spid="_x0000_s2437" o:spt="20" style="position:absolute;left:7794;top:7530;flip:y;height:156;width:180;" filled="f" stroked="t" coordsize="21600,21600">
              <v:path arrowok="t"/>
              <v:fill on="f" focussize="0,0"/>
              <v:stroke weight="2pt" color="#FF0000"/>
              <v:imagedata o:title=""/>
              <o:lock v:ext="edit"/>
            </v:line>
            <v:line id="_x0000_s2438" o:spid="_x0000_s2438" o:spt="20" style="position:absolute;left:7794;top:7686;height:156;width:180;" filled="f" stroked="t" coordsize="21600,21600">
              <v:path arrowok="t"/>
              <v:fill on="f" focussize="0,0"/>
              <v:stroke weight="2pt" color="#FF0000"/>
              <v:imagedata o:title=""/>
              <o:lock v:ext="edit"/>
            </v:line>
            <v:line id="_x0000_s2439" o:spid="_x0000_s2439" o:spt="20" style="position:absolute;left:7254;top:7530;height:156;width:180;" filled="f" stroked="t" coordsize="21600,21600">
              <v:path arrowok="t"/>
              <v:fill on="f" focussize="0,0"/>
              <v:stroke weight="2pt" color="#FF0000"/>
              <v:imagedata o:title=""/>
              <o:lock v:ext="edit"/>
            </v:line>
            <v:line id="_x0000_s2440" o:spid="_x0000_s2440" o:spt="20" style="position:absolute;left:7254;top:7686;flip:y;height:156;width:180;" filled="f" stroked="t" coordsize="21600,21600">
              <v:path arrowok="t"/>
              <v:fill on="f" focussize="0,0"/>
              <v:stroke weight="2pt" color="#FF0000"/>
              <v:imagedata o:title=""/>
              <o:lock v:ext="edit"/>
            </v:line>
          </v:group>
        </w:pict>
      </w:r>
      <w:r>
        <w:rPr>
          <w:rFonts w:hint="eastAsia" w:asciiTheme="minorEastAsia" w:hAnsiTheme="minorEastAsia" w:eastAsiaTheme="minorEastAsia" w:cstheme="minorEastAsia"/>
        </w:rPr>
        <w:pict>
          <v:group id="_x0000_s2441" o:spid="_x0000_s2441" o:spt="203" style="position:absolute;left:0pt;margin-left:282.3pt;margin-top:192.75pt;height:15.6pt;width:27pt;rotation:-24669574f;z-index:2132964352;mso-width-relative:page;mso-height-relative:page;" coordorigin="7254,7530" coordsize="720,312">
            <o:lock v:ext="edit"/>
            <v:line id="_x0000_s2442" o:spid="_x0000_s2442" o:spt="20" style="position:absolute;left:7434;top:7686;height:0;width:360;" filled="f" stroked="t" coordsize="21600,21600">
              <v:path arrowok="t"/>
              <v:fill on="f" focussize="0,0"/>
              <v:stroke weight="2pt" color="#FF0000"/>
              <v:imagedata o:title=""/>
              <o:lock v:ext="edit"/>
            </v:line>
            <v:line id="_x0000_s2443" o:spid="_x0000_s2443" o:spt="20" style="position:absolute;left:7794;top:7530;flip:y;height:156;width:180;" filled="f" stroked="t" coordsize="21600,21600">
              <v:path arrowok="t"/>
              <v:fill on="f" focussize="0,0"/>
              <v:stroke weight="2pt" color="#FF0000"/>
              <v:imagedata o:title=""/>
              <o:lock v:ext="edit"/>
            </v:line>
            <v:line id="_x0000_s2444" o:spid="_x0000_s2444" o:spt="20" style="position:absolute;left:7794;top:7686;height:156;width:180;" filled="f" stroked="t" coordsize="21600,21600">
              <v:path arrowok="t"/>
              <v:fill on="f" focussize="0,0"/>
              <v:stroke weight="2pt" color="#FF0000"/>
              <v:imagedata o:title=""/>
              <o:lock v:ext="edit"/>
            </v:line>
            <v:line id="_x0000_s2445" o:spid="_x0000_s2445" o:spt="20" style="position:absolute;left:7254;top:7530;height:156;width:180;" filled="f" stroked="t" coordsize="21600,21600">
              <v:path arrowok="t"/>
              <v:fill on="f" focussize="0,0"/>
              <v:stroke weight="2pt" color="#FF0000"/>
              <v:imagedata o:title=""/>
              <o:lock v:ext="edit"/>
            </v:line>
            <v:line id="_x0000_s2446" o:spid="_x0000_s2446" o:spt="20" style="position:absolute;left:7254;top:7686;flip:y;height:156;width:180;" filled="f" stroked="t" coordsize="21600,21600">
              <v:path arrowok="t"/>
              <v:fill on="f" focussize="0,0"/>
              <v:stroke weight="2pt" color="#FF0000"/>
              <v:imagedata o:title=""/>
              <o:lock v:ext="edit"/>
            </v:line>
          </v:group>
        </w:pict>
      </w:r>
      <w:r>
        <w:rPr>
          <w:rFonts w:hint="eastAsia" w:asciiTheme="minorEastAsia" w:hAnsiTheme="minorEastAsia" w:eastAsiaTheme="minorEastAsia" w:cstheme="minorEastAsia"/>
        </w:rPr>
        <w:pict>
          <v:shape id="_x0000_s2447" o:spid="_x0000_s2447" o:spt="176" type="#_x0000_t176" style="position:absolute;left:0pt;margin-left:337.55pt;margin-top:291.05pt;height:7.8pt;width:9pt;z-index:2133079040;mso-width-relative:page;mso-height-relative:page;" fillcolor="#C0C0C0" filled="t" coordsize="21600,21600">
            <v:path/>
            <v:fill on="t" focussize="0,0"/>
            <v:stroke/>
            <v:imagedata o:title=""/>
            <o:lock v:ext="edit"/>
          </v:shape>
        </w:pict>
      </w:r>
      <w:r>
        <w:rPr>
          <w:rFonts w:hint="eastAsia" w:asciiTheme="minorEastAsia" w:hAnsiTheme="minorEastAsia" w:eastAsiaTheme="minorEastAsia" w:cstheme="minorEastAsia"/>
        </w:rPr>
        <w:pict>
          <v:shape id="_x0000_i1037" o:spt="75" type="#_x0000_t75" style="height:408.35pt;width:717.05pt;" filled="f" stroked="f" coordsize="21600,21600">
            <v:path/>
            <v:fill on="f" focussize="0,0"/>
            <v:stroke on="f"/>
            <v:imagedata r:id="rId27" o:title="无标题"/>
            <o:lock v:ext="edit" aspectratio="t"/>
            <w10:wrap type="none"/>
            <w10:anchorlock/>
          </v:shape>
        </w:pict>
      </w:r>
    </w:p>
    <w:p>
      <w:pPr>
        <w:spacing w:line="360" w:lineRule="auto"/>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pict>
          <v:shape id="自选图形 8" o:spid="_x0000_s2459" o:spt="62" type="#_x0000_t62" style="position:absolute;left:0pt;margin-left:400.75pt;margin-top:99.25pt;height:25.05pt;width:72pt;z-index:1881897984;mso-width-relative:page;mso-height-relative:page;" coordsize="21600,21600" adj="-9210,60489,14400">
            <v:path/>
            <v:fill focussize="0,0"/>
            <v:stroke joinstyle="miter"/>
            <v:imagedata o:title=""/>
            <o:lock v:ext="edit"/>
            <v:textbox>
              <w:txbxContent>
                <w:p>
                  <w:r>
                    <w:rPr>
                      <w:rFonts w:hint="eastAsia"/>
                    </w:rPr>
                    <w:t>项目所在地</w:t>
                  </w:r>
                </w:p>
              </w:txbxContent>
            </v:textbox>
          </v:shape>
        </w:pict>
      </w:r>
      <w:r>
        <w:rPr>
          <w:rFonts w:hint="eastAsia" w:asciiTheme="minorEastAsia" w:hAnsiTheme="minorEastAsia" w:eastAsiaTheme="minorEastAsia" w:cstheme="minorEastAsia"/>
          <w:sz w:val="21"/>
        </w:rPr>
        <w:pict>
          <v:shape id="_x0000_s2458" o:spid="_x0000_s2458" o:spt="202" type="#_x0000_t202" style="position:absolute;left:0pt;margin-left:235.75pt;margin-top:395.3pt;height:40.3pt;width:260.55pt;z-index:2133553152;mso-width-relative:page;mso-height-relative:page;" filled="f" stroked="f" coordsize="21600,21600">
            <v:path/>
            <v:fill on="f" focussize="0,0"/>
            <v:stroke on="f"/>
            <v:imagedata o:title=""/>
            <o:lock v:ext="edit" aspectratio="f"/>
            <v:textbox>
              <w:txbxContent>
                <w:p>
                  <w:r>
                    <w:rPr>
                      <w:rStyle w:val="19"/>
                      <w:rFonts w:hint="eastAsia" w:asciiTheme="minorEastAsia" w:hAnsiTheme="minorEastAsia" w:eastAsiaTheme="minorEastAsia" w:cstheme="minorEastAsia"/>
                      <w:color w:val="auto"/>
                      <w:sz w:val="28"/>
                      <w:szCs w:val="28"/>
                      <w:u w:val="none"/>
                    </w:rPr>
                    <w:t>附图</w:t>
                  </w:r>
                  <w:r>
                    <w:rPr>
                      <w:rStyle w:val="19"/>
                      <w:rFonts w:hint="eastAsia" w:asciiTheme="minorEastAsia" w:hAnsiTheme="minorEastAsia" w:eastAsiaTheme="minorEastAsia" w:cstheme="minorEastAsia"/>
                      <w:color w:val="auto"/>
                      <w:sz w:val="28"/>
                      <w:szCs w:val="28"/>
                      <w:u w:val="none"/>
                      <w:lang w:val="en-US" w:eastAsia="zh-CN"/>
                    </w:rPr>
                    <w:t>5</w:t>
                  </w:r>
                  <w:r>
                    <w:rPr>
                      <w:rStyle w:val="19"/>
                      <w:rFonts w:hint="eastAsia" w:asciiTheme="minorEastAsia" w:hAnsiTheme="minorEastAsia" w:eastAsiaTheme="minorEastAsia" w:cstheme="minorEastAsia"/>
                      <w:color w:val="auto"/>
                      <w:sz w:val="28"/>
                      <w:szCs w:val="28"/>
                      <w:u w:val="none"/>
                    </w:rPr>
                    <w:t xml:space="preserve"> 丹阳市生态红线区与本项目关系</w:t>
                  </w:r>
                  <w:r>
                    <w:rPr>
                      <w:rStyle w:val="19"/>
                      <w:rFonts w:hint="eastAsia" w:ascii="仿宋_GB2312" w:hAnsi="仿宋" w:eastAsia="仿宋_GB2312"/>
                      <w:color w:val="auto"/>
                      <w:sz w:val="28"/>
                      <w:szCs w:val="28"/>
                      <w:u w:val="none"/>
                    </w:rPr>
                    <w:t>图</w:t>
                  </w:r>
                </w:p>
              </w:txbxContent>
            </v:textbox>
          </v:shape>
        </w:pict>
      </w:r>
      <w:r>
        <w:rPr>
          <w:rFonts w:hint="eastAsia" w:asciiTheme="minorEastAsia" w:hAnsiTheme="minorEastAsia" w:eastAsiaTheme="minorEastAsia" w:cstheme="minorEastAsia"/>
        </w:rPr>
        <w:pict>
          <v:shape id="_x0000_i1038" o:spt="75" alt="QQ3333333" type="#_x0000_t75" style="height:404.2pt;width:697.95pt;" filled="f" o:preferrelative="t" stroked="f" coordsize="21600,21600">
            <v:path/>
            <v:fill on="f" focussize="0,0"/>
            <v:stroke on="f"/>
            <v:imagedata r:id="rId28" o:title="QQ3333333"/>
            <o:lock v:ext="edit" aspectratio="t"/>
            <w10:wrap type="none"/>
            <w10:anchorlock/>
          </v:shape>
        </w:pict>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TimesNewRomanPSMT">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仿宋体">
    <w:altName w:val="宋体"/>
    <w:panose1 w:val="02010600030101010101"/>
    <w:charset w:val="86"/>
    <w:family w:val="roman"/>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PMingLiU"/>
    <w:panose1 w:val="02010609000101010101"/>
    <w:charset w:val="88"/>
    <w:family w:val="modern"/>
    <w:pitch w:val="default"/>
    <w:sig w:usb0="00000000" w:usb1="00000000" w:usb2="00000010" w:usb3="00000000" w:csb0="00100000" w:csb1="00000000"/>
  </w:font>
  <w:font w:name="汉鼎简大宋">
    <w:altName w:val="宋体"/>
    <w:panose1 w:val="0201060901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方正仿宋_GBK">
    <w:altName w:val="宋体"/>
    <w:panose1 w:val="03000509000000000000"/>
    <w:charset w:val="86"/>
    <w:family w:val="script"/>
    <w:pitch w:val="default"/>
    <w:sig w:usb0="00000000" w:usb1="00000000" w:usb2="00000010" w:usb3="00000000" w:csb0="003C0041" w:csb1="00000000"/>
  </w:font>
  <w:font w:name="幼圆">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altName w:val="黑体"/>
    <w:panose1 w:val="03000509000000000000"/>
    <w:charset w:val="86"/>
    <w:family w:val="script"/>
    <w:pitch w:val="default"/>
    <w:sig w:usb0="00000000" w:usb1="00000000" w:usb2="00000010" w:usb3="00000000" w:csb0="00040000" w:csb1="00000000"/>
  </w:font>
  <w:font w:name="·s²Ó©úÅé">
    <w:altName w:val="MingLiU"/>
    <w:panose1 w:val="00000000000000000000"/>
    <w:charset w:val="88"/>
    <w:family w:val="auto"/>
    <w:pitch w:val="default"/>
    <w:sig w:usb0="00000000" w:usb1="00000000" w:usb2="00000010" w:usb3="00000000" w:csb0="00100000" w:csb1="00000000"/>
  </w:font>
  <w:font w:name="Arial Narrow">
    <w:panose1 w:val="020B0606020202030204"/>
    <w:charset w:val="00"/>
    <w:family w:val="swiss"/>
    <w:pitch w:val="default"/>
    <w:sig w:usb0="00000287" w:usb1="00000800" w:usb2="00000000" w:usb3="00000000" w:csb0="2000009F" w:csb1="DFD70000"/>
  </w:font>
  <w:font w:name="MingLiU">
    <w:panose1 w:val="02020509000000000000"/>
    <w:charset w:val="88"/>
    <w:family w:val="modern"/>
    <w:pitch w:val="default"/>
    <w:sig w:usb0="A00002FF" w:usb1="28CFFCFA" w:usb2="00000016" w:usb3="00000000" w:csb0="00100001" w:csb1="00000000"/>
  </w:font>
  <w:font w:name="華康細黑體">
    <w:altName w:val="MingLiU"/>
    <w:panose1 w:val="00000000000000000000"/>
    <w:charset w:val="88"/>
    <w:family w:val="modern"/>
    <w:pitch w:val="default"/>
    <w:sig w:usb0="00000000" w:usb1="00000000" w:usb2="00000010" w:usb3="00000000" w:csb0="00100000" w:csb1="00000000"/>
  </w:font>
  <w:font w:name="??">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Alaska">
    <w:altName w:val="Lucida Sans Unicode"/>
    <w:panose1 w:val="020E0602030304020303"/>
    <w:charset w:val="00"/>
    <w:family w:val="swiss"/>
    <w:pitch w:val="default"/>
    <w:sig w:usb0="00000000" w:usb1="00000000" w:usb2="00000000" w:usb3="00000000" w:csb0="00000017" w:csb1="00000000"/>
  </w:font>
  <w:font w:name="_x000B__x000C_">
    <w:altName w:val="Times New Roman"/>
    <w:panose1 w:val="00000000000000000000"/>
    <w:charset w:val="00"/>
    <w:family w:val="roman"/>
    <w:pitch w:val="default"/>
    <w:sig w:usb0="00000000" w:usb1="00000000" w:usb2="00000000" w:usb3="00000000" w:csb0="00040001" w:csb1="0000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Lucida Sans Unicode">
    <w:panose1 w:val="020B0602030504020204"/>
    <w:charset w:val="00"/>
    <w:family w:val="auto"/>
    <w:pitch w:val="default"/>
    <w:sig w:usb0="80001AFF" w:usb1="0000396B" w:usb2="00000000" w:usb3="00000000" w:csb0="200000BF" w:csb1="D7F70000"/>
  </w:font>
  <w:font w:name="CG Times (WN)">
    <w:altName w:val="Times New Roman"/>
    <w:panose1 w:val="00000000000000000000"/>
    <w:charset w:val="00"/>
    <w:family w:val="auto"/>
    <w:pitch w:val="default"/>
    <w:sig w:usb0="00000000" w:usb1="00000000" w:usb2="00000000" w:usb3="00000000" w:csb0="00000001" w:csb1="00000000"/>
  </w:font>
  <w:font w:name="DFKai-SB">
    <w:panose1 w:val="03000509000000000000"/>
    <w:charset w:val="88"/>
    <w:family w:val="script"/>
    <w:pitch w:val="default"/>
    <w:sig w:usb0="00000003" w:usb1="082E0000" w:usb2="00000016" w:usb3="00000000" w:csb0="0010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thickThinSmallGap" w:color="auto" w:sz="12" w:space="1"/>
      </w:pBdr>
      <w:ind w:firstLine="180" w:firstLineChars="100"/>
      <w:jc w:val="center"/>
    </w:pPr>
    <w:r>
      <w:rPr>
        <w:rStyle w:val="18"/>
      </w:rPr>
      <w:fldChar w:fldCharType="begin"/>
    </w:r>
    <w:r>
      <w:rPr>
        <w:rStyle w:val="18"/>
      </w:rPr>
      <w:instrText xml:space="preserve"> PAGE </w:instrText>
    </w:r>
    <w:r>
      <w:rPr>
        <w:rStyle w:val="18"/>
      </w:rPr>
      <w:fldChar w:fldCharType="separate"/>
    </w:r>
    <w:r>
      <w:rPr>
        <w:rStyle w:val="18"/>
      </w:rPr>
      <w:t>IV</w:t>
    </w:r>
    <w:r>
      <w:rPr>
        <w:rStyle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sz w:val="21"/>
        <w:szCs w:val="21"/>
      </w:rPr>
    </w:pPr>
    <w:r>
      <w:rPr>
        <w:rStyle w:val="18"/>
        <w:sz w:val="21"/>
        <w:szCs w:val="21"/>
      </w:rPr>
      <w:t>-</w:t>
    </w:r>
    <w:r>
      <w:rPr>
        <w:rStyle w:val="18"/>
        <w:sz w:val="21"/>
        <w:szCs w:val="21"/>
      </w:rPr>
      <w:fldChar w:fldCharType="begin"/>
    </w:r>
    <w:r>
      <w:rPr>
        <w:rStyle w:val="18"/>
        <w:sz w:val="21"/>
        <w:szCs w:val="21"/>
      </w:rPr>
      <w:instrText xml:space="preserve">PAGE  </w:instrText>
    </w:r>
    <w:r>
      <w:rPr>
        <w:rStyle w:val="18"/>
        <w:sz w:val="21"/>
        <w:szCs w:val="21"/>
      </w:rPr>
      <w:fldChar w:fldCharType="separate"/>
    </w:r>
    <w:r>
      <w:rPr>
        <w:rStyle w:val="18"/>
        <w:sz w:val="21"/>
        <w:szCs w:val="21"/>
      </w:rPr>
      <w:t>64</w:t>
    </w:r>
    <w:r>
      <w:rPr>
        <w:rStyle w:val="18"/>
        <w:sz w:val="21"/>
        <w:szCs w:val="21"/>
      </w:rPr>
      <w:fldChar w:fldCharType="end"/>
    </w:r>
    <w:r>
      <w:rPr>
        <w:rStyle w:val="18"/>
        <w:sz w:val="21"/>
        <w:szCs w:val="21"/>
      </w:rPr>
      <w:t>-</w:t>
    </w:r>
  </w:p>
  <w:p>
    <w:pPr>
      <w:pStyle w:val="10"/>
      <w:pBdr>
        <w:top w:val="thickThinSmallGap" w:color="auto" w:sz="12" w:space="1"/>
      </w:pBd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fldChar w:fldCharType="begin"/>
    </w:r>
    <w:r>
      <w:rPr>
        <w:rStyle w:val="18"/>
      </w:rPr>
      <w:instrText xml:space="preserve">PAGE  </w:instrText>
    </w:r>
    <w:r>
      <w:fldChar w:fldCharType="separate"/>
    </w:r>
    <w:r>
      <w:rPr>
        <w:rStyle w:val="18"/>
      </w:rPr>
      <w:t>35</w:t>
    </w:r>
    <w:r>
      <w:fldChar w:fldCharType="end"/>
    </w:r>
  </w:p>
  <w:p>
    <w:pPr>
      <w:pStyle w:val="10"/>
      <w:wordWrap w:val="0"/>
      <w:ind w:right="360"/>
      <w:jc w:val="right"/>
      <w:rPr>
        <w:rFonts w:hint="eastAsia"/>
        <w:w w:val="8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auto" w:sz="12" w:space="1"/>
      </w:pBdr>
      <w:rPr>
        <w:rFonts w:ascii="仿宋" w:hAnsi="仿宋" w:eastAsia="仿宋"/>
        <w:color w:val="000000"/>
        <w:spacing w:val="-4"/>
        <w:sz w:val="21"/>
        <w:szCs w:val="21"/>
      </w:rPr>
    </w:pPr>
    <w:r>
      <w:rPr>
        <w:rFonts w:hint="eastAsia" w:ascii="仿宋" w:hAnsi="仿宋" w:eastAsia="仿宋"/>
        <w:spacing w:val="-4"/>
        <w:sz w:val="21"/>
        <w:szCs w:val="21"/>
      </w:rPr>
      <w:t>丹阳市大亚人造板集团有限公司年产</w:t>
    </w:r>
    <w:r>
      <w:rPr>
        <w:rFonts w:ascii="仿宋" w:hAnsi="仿宋" w:eastAsia="仿宋"/>
        <w:spacing w:val="-4"/>
        <w:sz w:val="21"/>
        <w:szCs w:val="21"/>
      </w:rPr>
      <w:t>1000</w:t>
    </w:r>
    <w:r>
      <w:rPr>
        <w:rFonts w:hint="eastAsia" w:ascii="仿宋" w:hAnsi="仿宋" w:eastAsia="仿宋"/>
        <w:spacing w:val="-4"/>
        <w:sz w:val="21"/>
        <w:szCs w:val="21"/>
      </w:rPr>
      <w:t>万</w:t>
    </w:r>
    <w:r>
      <w:rPr>
        <w:rFonts w:ascii="仿宋" w:hAnsi="仿宋" w:eastAsia="仿宋"/>
        <w:spacing w:val="-4"/>
        <w:sz w:val="21"/>
        <w:szCs w:val="21"/>
      </w:rPr>
      <w:t>m</w:t>
    </w:r>
    <w:r>
      <w:rPr>
        <w:rFonts w:ascii="仿宋" w:hAnsi="仿宋" w:eastAsia="仿宋"/>
        <w:spacing w:val="-4"/>
        <w:sz w:val="21"/>
        <w:szCs w:val="21"/>
        <w:vertAlign w:val="superscript"/>
      </w:rPr>
      <w:t>2</w:t>
    </w:r>
    <w:r>
      <w:rPr>
        <w:rFonts w:hint="eastAsia" w:ascii="仿宋" w:hAnsi="仿宋" w:eastAsia="仿宋"/>
        <w:spacing w:val="-4"/>
        <w:sz w:val="21"/>
        <w:szCs w:val="21"/>
      </w:rPr>
      <w:t>强化地板扩能项目环保自查评估报告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54px;height:30px" o:bullet="t">
        <v:imagedata r:id="rId1" o:title=""/>
      </v:shape>
    </w:pict>
  </w:numPicBullet>
  <w:abstractNum w:abstractNumId="0">
    <w:nsid w:val="140650BF"/>
    <w:multiLevelType w:val="multilevel"/>
    <w:tmpl w:val="140650BF"/>
    <w:lvl w:ilvl="0" w:tentative="0">
      <w:start w:val="5"/>
      <w:numFmt w:val="decimalEnclosedCircle"/>
      <w:lvlText w:val="%1"/>
      <w:lvlJc w:val="left"/>
      <w:pPr>
        <w:ind w:left="920" w:hanging="360"/>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
    <w:nsid w:val="19F33E7B"/>
    <w:multiLevelType w:val="multilevel"/>
    <w:tmpl w:val="19F33E7B"/>
    <w:lvl w:ilvl="0" w:tentative="0">
      <w:start w:val="3"/>
      <w:numFmt w:val="decimalEnclosedCircle"/>
      <w:lvlText w:val="%1"/>
      <w:lvlJc w:val="left"/>
      <w:pPr>
        <w:ind w:left="920" w:hanging="360"/>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
    <w:nsid w:val="2AA7075C"/>
    <w:multiLevelType w:val="multilevel"/>
    <w:tmpl w:val="2AA7075C"/>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3">
    <w:nsid w:val="57FEF49F"/>
    <w:multiLevelType w:val="singleLevel"/>
    <w:tmpl w:val="57FEF49F"/>
    <w:lvl w:ilvl="0" w:tentative="0">
      <w:start w:val="1"/>
      <w:numFmt w:val="decimal"/>
      <w:suff w:val="nothing"/>
      <w:lvlText w:val="（%1）"/>
      <w:lvlJc w:val="left"/>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0185"/>
    <w:rsid w:val="00047AA3"/>
    <w:rsid w:val="000702A2"/>
    <w:rsid w:val="0008713C"/>
    <w:rsid w:val="000D7C32"/>
    <w:rsid w:val="0011707C"/>
    <w:rsid w:val="001362F1"/>
    <w:rsid w:val="001C253A"/>
    <w:rsid w:val="001D3868"/>
    <w:rsid w:val="00210F34"/>
    <w:rsid w:val="00225F1E"/>
    <w:rsid w:val="00236750"/>
    <w:rsid w:val="00240BC7"/>
    <w:rsid w:val="00241804"/>
    <w:rsid w:val="002B0196"/>
    <w:rsid w:val="002C291E"/>
    <w:rsid w:val="002C5AFB"/>
    <w:rsid w:val="002D6779"/>
    <w:rsid w:val="00301157"/>
    <w:rsid w:val="00321227"/>
    <w:rsid w:val="00345CB1"/>
    <w:rsid w:val="003504F8"/>
    <w:rsid w:val="0035059B"/>
    <w:rsid w:val="00395E8A"/>
    <w:rsid w:val="003A1CB5"/>
    <w:rsid w:val="003B13B8"/>
    <w:rsid w:val="003B2FFE"/>
    <w:rsid w:val="003C26C0"/>
    <w:rsid w:val="003D4080"/>
    <w:rsid w:val="003E182D"/>
    <w:rsid w:val="003E7B29"/>
    <w:rsid w:val="003F10D0"/>
    <w:rsid w:val="003F2B41"/>
    <w:rsid w:val="004113BF"/>
    <w:rsid w:val="00457A1C"/>
    <w:rsid w:val="00464B3E"/>
    <w:rsid w:val="00481C0F"/>
    <w:rsid w:val="004A77E8"/>
    <w:rsid w:val="004F1B81"/>
    <w:rsid w:val="004F38EC"/>
    <w:rsid w:val="005840B6"/>
    <w:rsid w:val="005A639D"/>
    <w:rsid w:val="005E2884"/>
    <w:rsid w:val="005E3366"/>
    <w:rsid w:val="006433C3"/>
    <w:rsid w:val="0066170D"/>
    <w:rsid w:val="006A7AAC"/>
    <w:rsid w:val="006D4168"/>
    <w:rsid w:val="006E7450"/>
    <w:rsid w:val="0070444D"/>
    <w:rsid w:val="00736BB4"/>
    <w:rsid w:val="00751642"/>
    <w:rsid w:val="0075399D"/>
    <w:rsid w:val="00761AC0"/>
    <w:rsid w:val="007645C4"/>
    <w:rsid w:val="00780489"/>
    <w:rsid w:val="00781D9D"/>
    <w:rsid w:val="007B4357"/>
    <w:rsid w:val="007E15D8"/>
    <w:rsid w:val="00800DE3"/>
    <w:rsid w:val="0083688A"/>
    <w:rsid w:val="008C19F3"/>
    <w:rsid w:val="008C4485"/>
    <w:rsid w:val="008E0367"/>
    <w:rsid w:val="009B6B52"/>
    <w:rsid w:val="009C0AD1"/>
    <w:rsid w:val="009C38E6"/>
    <w:rsid w:val="009C5495"/>
    <w:rsid w:val="009C5E1E"/>
    <w:rsid w:val="009D27AE"/>
    <w:rsid w:val="009D4F99"/>
    <w:rsid w:val="00A0269E"/>
    <w:rsid w:val="00A45883"/>
    <w:rsid w:val="00A61DAD"/>
    <w:rsid w:val="00A808BF"/>
    <w:rsid w:val="00AA5A83"/>
    <w:rsid w:val="00AE0185"/>
    <w:rsid w:val="00B20FAF"/>
    <w:rsid w:val="00B47C3C"/>
    <w:rsid w:val="00B87294"/>
    <w:rsid w:val="00BA64CB"/>
    <w:rsid w:val="00BC4D9F"/>
    <w:rsid w:val="00BC4ED5"/>
    <w:rsid w:val="00BD7354"/>
    <w:rsid w:val="00BE50B6"/>
    <w:rsid w:val="00C07443"/>
    <w:rsid w:val="00C1285F"/>
    <w:rsid w:val="00C415D7"/>
    <w:rsid w:val="00C43D04"/>
    <w:rsid w:val="00C6366B"/>
    <w:rsid w:val="00C65E97"/>
    <w:rsid w:val="00C913EF"/>
    <w:rsid w:val="00CA1EED"/>
    <w:rsid w:val="00CA2076"/>
    <w:rsid w:val="00CA317C"/>
    <w:rsid w:val="00CB41AB"/>
    <w:rsid w:val="00CC01C4"/>
    <w:rsid w:val="00CD1325"/>
    <w:rsid w:val="00D45E3E"/>
    <w:rsid w:val="00D71B30"/>
    <w:rsid w:val="00DB1AB0"/>
    <w:rsid w:val="00DD53BE"/>
    <w:rsid w:val="00E01DAC"/>
    <w:rsid w:val="00E34F44"/>
    <w:rsid w:val="00E71CD8"/>
    <w:rsid w:val="00E804B3"/>
    <w:rsid w:val="00E8566B"/>
    <w:rsid w:val="00E867A1"/>
    <w:rsid w:val="00E91D05"/>
    <w:rsid w:val="00EA3593"/>
    <w:rsid w:val="00EE2B4A"/>
    <w:rsid w:val="00F20833"/>
    <w:rsid w:val="00F67BC2"/>
    <w:rsid w:val="00F73044"/>
    <w:rsid w:val="00FC2EDE"/>
    <w:rsid w:val="00FC5CA7"/>
    <w:rsid w:val="015B513E"/>
    <w:rsid w:val="01867A2F"/>
    <w:rsid w:val="01A86CEA"/>
    <w:rsid w:val="01AB1465"/>
    <w:rsid w:val="01D43C72"/>
    <w:rsid w:val="01E0522F"/>
    <w:rsid w:val="020B2F53"/>
    <w:rsid w:val="02210C0C"/>
    <w:rsid w:val="02491DC2"/>
    <w:rsid w:val="028C7680"/>
    <w:rsid w:val="028E5934"/>
    <w:rsid w:val="029761DD"/>
    <w:rsid w:val="029F1B0F"/>
    <w:rsid w:val="02CF7E01"/>
    <w:rsid w:val="02DB17C1"/>
    <w:rsid w:val="03457AE3"/>
    <w:rsid w:val="03635C2C"/>
    <w:rsid w:val="03B6763F"/>
    <w:rsid w:val="03C25C1E"/>
    <w:rsid w:val="03DF4F9C"/>
    <w:rsid w:val="03F060A2"/>
    <w:rsid w:val="03F338AB"/>
    <w:rsid w:val="03F42A70"/>
    <w:rsid w:val="040674E2"/>
    <w:rsid w:val="042C0A0B"/>
    <w:rsid w:val="045B2551"/>
    <w:rsid w:val="0474049A"/>
    <w:rsid w:val="049A1BF9"/>
    <w:rsid w:val="04AD4E29"/>
    <w:rsid w:val="04AF166F"/>
    <w:rsid w:val="04EF2262"/>
    <w:rsid w:val="050747AE"/>
    <w:rsid w:val="05223069"/>
    <w:rsid w:val="052D5E51"/>
    <w:rsid w:val="053D0FAE"/>
    <w:rsid w:val="058745C5"/>
    <w:rsid w:val="05AE18E8"/>
    <w:rsid w:val="05BD52A7"/>
    <w:rsid w:val="05D05161"/>
    <w:rsid w:val="05E7422B"/>
    <w:rsid w:val="06B559E8"/>
    <w:rsid w:val="06F17AF3"/>
    <w:rsid w:val="0723714E"/>
    <w:rsid w:val="072E383A"/>
    <w:rsid w:val="07605837"/>
    <w:rsid w:val="07C60E4D"/>
    <w:rsid w:val="082352B3"/>
    <w:rsid w:val="08307044"/>
    <w:rsid w:val="08847CF6"/>
    <w:rsid w:val="08982A5C"/>
    <w:rsid w:val="08AD61EA"/>
    <w:rsid w:val="08B9249F"/>
    <w:rsid w:val="08C60457"/>
    <w:rsid w:val="08F25432"/>
    <w:rsid w:val="090628E1"/>
    <w:rsid w:val="090A2B0A"/>
    <w:rsid w:val="092D4C72"/>
    <w:rsid w:val="092E547C"/>
    <w:rsid w:val="092F64B1"/>
    <w:rsid w:val="09457FA4"/>
    <w:rsid w:val="094857E4"/>
    <w:rsid w:val="094C28B9"/>
    <w:rsid w:val="094D6A9B"/>
    <w:rsid w:val="09553D61"/>
    <w:rsid w:val="09693A73"/>
    <w:rsid w:val="09757E5F"/>
    <w:rsid w:val="097948FF"/>
    <w:rsid w:val="098551AA"/>
    <w:rsid w:val="098E0FCB"/>
    <w:rsid w:val="099C266D"/>
    <w:rsid w:val="09B77538"/>
    <w:rsid w:val="0A134BF6"/>
    <w:rsid w:val="0A1C5794"/>
    <w:rsid w:val="0A6B3A3D"/>
    <w:rsid w:val="0ABA4FF1"/>
    <w:rsid w:val="0ABB20B3"/>
    <w:rsid w:val="0AEC64BB"/>
    <w:rsid w:val="0AFF43AA"/>
    <w:rsid w:val="0B1017D9"/>
    <w:rsid w:val="0B237D16"/>
    <w:rsid w:val="0BE262D5"/>
    <w:rsid w:val="0BF0013C"/>
    <w:rsid w:val="0C8F503F"/>
    <w:rsid w:val="0CA9553A"/>
    <w:rsid w:val="0D055B74"/>
    <w:rsid w:val="0D2176CC"/>
    <w:rsid w:val="0D3A3C55"/>
    <w:rsid w:val="0D553B66"/>
    <w:rsid w:val="0D5B5295"/>
    <w:rsid w:val="0D7C79BD"/>
    <w:rsid w:val="0D842238"/>
    <w:rsid w:val="0D9D0A94"/>
    <w:rsid w:val="0DCA3826"/>
    <w:rsid w:val="0E172E25"/>
    <w:rsid w:val="0E272048"/>
    <w:rsid w:val="0E3346C3"/>
    <w:rsid w:val="0E3E0E46"/>
    <w:rsid w:val="0E437134"/>
    <w:rsid w:val="0E5F51D5"/>
    <w:rsid w:val="0E60394D"/>
    <w:rsid w:val="0E743210"/>
    <w:rsid w:val="0ECE58EC"/>
    <w:rsid w:val="0ED259EF"/>
    <w:rsid w:val="0F09147C"/>
    <w:rsid w:val="0F361B01"/>
    <w:rsid w:val="0F961F3A"/>
    <w:rsid w:val="0FC9203C"/>
    <w:rsid w:val="0FCC6C3C"/>
    <w:rsid w:val="100242E5"/>
    <w:rsid w:val="10084B6C"/>
    <w:rsid w:val="100B3A64"/>
    <w:rsid w:val="103562CF"/>
    <w:rsid w:val="10655AC6"/>
    <w:rsid w:val="10A7611F"/>
    <w:rsid w:val="10DE3AAB"/>
    <w:rsid w:val="10F75B4F"/>
    <w:rsid w:val="1127421C"/>
    <w:rsid w:val="117009E3"/>
    <w:rsid w:val="11915407"/>
    <w:rsid w:val="119405B5"/>
    <w:rsid w:val="11F076EF"/>
    <w:rsid w:val="1206235F"/>
    <w:rsid w:val="125D474A"/>
    <w:rsid w:val="12A5641A"/>
    <w:rsid w:val="12AE513B"/>
    <w:rsid w:val="12BC6B90"/>
    <w:rsid w:val="12C921DF"/>
    <w:rsid w:val="12DA3408"/>
    <w:rsid w:val="12EC3831"/>
    <w:rsid w:val="133D678C"/>
    <w:rsid w:val="13422865"/>
    <w:rsid w:val="13B45973"/>
    <w:rsid w:val="13D6320D"/>
    <w:rsid w:val="13E33D5F"/>
    <w:rsid w:val="13E87651"/>
    <w:rsid w:val="1402737C"/>
    <w:rsid w:val="140A1F2A"/>
    <w:rsid w:val="141D1D17"/>
    <w:rsid w:val="141E6D99"/>
    <w:rsid w:val="142A7F5A"/>
    <w:rsid w:val="1453669C"/>
    <w:rsid w:val="14555597"/>
    <w:rsid w:val="147D1B3C"/>
    <w:rsid w:val="149B7AA8"/>
    <w:rsid w:val="14E834A9"/>
    <w:rsid w:val="14EB4F4E"/>
    <w:rsid w:val="150D58C2"/>
    <w:rsid w:val="152605D8"/>
    <w:rsid w:val="152C5C4A"/>
    <w:rsid w:val="15584A11"/>
    <w:rsid w:val="1566080B"/>
    <w:rsid w:val="15E42F64"/>
    <w:rsid w:val="15E91966"/>
    <w:rsid w:val="15F42BC5"/>
    <w:rsid w:val="15FA7953"/>
    <w:rsid w:val="164630B1"/>
    <w:rsid w:val="16525D2A"/>
    <w:rsid w:val="165D6DC3"/>
    <w:rsid w:val="16610D23"/>
    <w:rsid w:val="167D0A79"/>
    <w:rsid w:val="16AA088A"/>
    <w:rsid w:val="16E91F74"/>
    <w:rsid w:val="172C4CC2"/>
    <w:rsid w:val="175800B0"/>
    <w:rsid w:val="1762419A"/>
    <w:rsid w:val="17634CC6"/>
    <w:rsid w:val="17882849"/>
    <w:rsid w:val="17AC1011"/>
    <w:rsid w:val="17FF4EDB"/>
    <w:rsid w:val="180F4C26"/>
    <w:rsid w:val="18234663"/>
    <w:rsid w:val="185B5806"/>
    <w:rsid w:val="18BE7400"/>
    <w:rsid w:val="18E454B8"/>
    <w:rsid w:val="19050784"/>
    <w:rsid w:val="196A5A19"/>
    <w:rsid w:val="19971DB3"/>
    <w:rsid w:val="19B6571A"/>
    <w:rsid w:val="19DB76C1"/>
    <w:rsid w:val="19E132B7"/>
    <w:rsid w:val="19E952F1"/>
    <w:rsid w:val="19F52097"/>
    <w:rsid w:val="1A0553DD"/>
    <w:rsid w:val="1A261408"/>
    <w:rsid w:val="1A34035A"/>
    <w:rsid w:val="1A5258BE"/>
    <w:rsid w:val="1A6A5AB8"/>
    <w:rsid w:val="1A950A4C"/>
    <w:rsid w:val="1A9E0262"/>
    <w:rsid w:val="1AC75ED7"/>
    <w:rsid w:val="1AF66002"/>
    <w:rsid w:val="1B042ECA"/>
    <w:rsid w:val="1B484645"/>
    <w:rsid w:val="1B4C0D3E"/>
    <w:rsid w:val="1B651AC9"/>
    <w:rsid w:val="1B6A75B5"/>
    <w:rsid w:val="1B8B5C28"/>
    <w:rsid w:val="1B9A0918"/>
    <w:rsid w:val="1BA346B3"/>
    <w:rsid w:val="1BA62405"/>
    <w:rsid w:val="1BD579D3"/>
    <w:rsid w:val="1BFC58FF"/>
    <w:rsid w:val="1C200EC8"/>
    <w:rsid w:val="1C2805C4"/>
    <w:rsid w:val="1C3B4909"/>
    <w:rsid w:val="1C4474EB"/>
    <w:rsid w:val="1C7A58B4"/>
    <w:rsid w:val="1C847A4A"/>
    <w:rsid w:val="1C8F088B"/>
    <w:rsid w:val="1CA37309"/>
    <w:rsid w:val="1CAC73C3"/>
    <w:rsid w:val="1CD77593"/>
    <w:rsid w:val="1D092FD3"/>
    <w:rsid w:val="1D1C667B"/>
    <w:rsid w:val="1D283496"/>
    <w:rsid w:val="1D6A26FF"/>
    <w:rsid w:val="1D737DFF"/>
    <w:rsid w:val="1D9C793B"/>
    <w:rsid w:val="1DBD5AE0"/>
    <w:rsid w:val="1DD26275"/>
    <w:rsid w:val="1DEF6EDD"/>
    <w:rsid w:val="1E0946DB"/>
    <w:rsid w:val="1EAF6F1C"/>
    <w:rsid w:val="1EDC55F1"/>
    <w:rsid w:val="1EE00FE5"/>
    <w:rsid w:val="1EEE12C7"/>
    <w:rsid w:val="1F145568"/>
    <w:rsid w:val="1F392051"/>
    <w:rsid w:val="1F4A5DA6"/>
    <w:rsid w:val="1F753533"/>
    <w:rsid w:val="1F8157BA"/>
    <w:rsid w:val="1F8E29D6"/>
    <w:rsid w:val="1FA76870"/>
    <w:rsid w:val="1FFE2DA8"/>
    <w:rsid w:val="201F676A"/>
    <w:rsid w:val="203D617E"/>
    <w:rsid w:val="20440388"/>
    <w:rsid w:val="20B871C4"/>
    <w:rsid w:val="20F44AF0"/>
    <w:rsid w:val="211B4D98"/>
    <w:rsid w:val="21421057"/>
    <w:rsid w:val="21510D16"/>
    <w:rsid w:val="21646706"/>
    <w:rsid w:val="21691246"/>
    <w:rsid w:val="217A0333"/>
    <w:rsid w:val="2187264E"/>
    <w:rsid w:val="21A609C5"/>
    <w:rsid w:val="21AF115E"/>
    <w:rsid w:val="21C63A42"/>
    <w:rsid w:val="21F6638D"/>
    <w:rsid w:val="21FD0A6C"/>
    <w:rsid w:val="222E6188"/>
    <w:rsid w:val="22582F87"/>
    <w:rsid w:val="227811EF"/>
    <w:rsid w:val="22C40074"/>
    <w:rsid w:val="22CD279F"/>
    <w:rsid w:val="22FB73E9"/>
    <w:rsid w:val="23013744"/>
    <w:rsid w:val="23674BE3"/>
    <w:rsid w:val="239453AC"/>
    <w:rsid w:val="23A30151"/>
    <w:rsid w:val="23C32B78"/>
    <w:rsid w:val="2417521A"/>
    <w:rsid w:val="241B5813"/>
    <w:rsid w:val="241C40F0"/>
    <w:rsid w:val="24617712"/>
    <w:rsid w:val="247B5383"/>
    <w:rsid w:val="247B7567"/>
    <w:rsid w:val="24B91588"/>
    <w:rsid w:val="24BA4852"/>
    <w:rsid w:val="24D307C2"/>
    <w:rsid w:val="24D63BA8"/>
    <w:rsid w:val="254660BA"/>
    <w:rsid w:val="254D05BA"/>
    <w:rsid w:val="257D10B3"/>
    <w:rsid w:val="25B43DBF"/>
    <w:rsid w:val="25D2103C"/>
    <w:rsid w:val="2649056B"/>
    <w:rsid w:val="268C60EC"/>
    <w:rsid w:val="26C40346"/>
    <w:rsid w:val="26E96FCE"/>
    <w:rsid w:val="26F976AB"/>
    <w:rsid w:val="27D61140"/>
    <w:rsid w:val="27D71D99"/>
    <w:rsid w:val="27E47660"/>
    <w:rsid w:val="27F978FE"/>
    <w:rsid w:val="27FA44BC"/>
    <w:rsid w:val="27FF4086"/>
    <w:rsid w:val="285B2A85"/>
    <w:rsid w:val="28703849"/>
    <w:rsid w:val="28784F07"/>
    <w:rsid w:val="287E4246"/>
    <w:rsid w:val="288470F9"/>
    <w:rsid w:val="288B6D0A"/>
    <w:rsid w:val="2896135C"/>
    <w:rsid w:val="28B27A98"/>
    <w:rsid w:val="28CE3404"/>
    <w:rsid w:val="28E2649F"/>
    <w:rsid w:val="28E55865"/>
    <w:rsid w:val="29006556"/>
    <w:rsid w:val="292E001E"/>
    <w:rsid w:val="29BE12E9"/>
    <w:rsid w:val="29C47146"/>
    <w:rsid w:val="2A180461"/>
    <w:rsid w:val="2A1F0166"/>
    <w:rsid w:val="2A687CB9"/>
    <w:rsid w:val="2A8C495D"/>
    <w:rsid w:val="2AC80E55"/>
    <w:rsid w:val="2AD04AA1"/>
    <w:rsid w:val="2AFC612F"/>
    <w:rsid w:val="2B2D6331"/>
    <w:rsid w:val="2B334588"/>
    <w:rsid w:val="2B3B2397"/>
    <w:rsid w:val="2B651CD6"/>
    <w:rsid w:val="2B6562D8"/>
    <w:rsid w:val="2B697DD3"/>
    <w:rsid w:val="2B8834D2"/>
    <w:rsid w:val="2BB87F4D"/>
    <w:rsid w:val="2BF47CA0"/>
    <w:rsid w:val="2C403251"/>
    <w:rsid w:val="2C4B637D"/>
    <w:rsid w:val="2C98703C"/>
    <w:rsid w:val="2CA72789"/>
    <w:rsid w:val="2CBE60AD"/>
    <w:rsid w:val="2CC822F5"/>
    <w:rsid w:val="2D0478BD"/>
    <w:rsid w:val="2D170A03"/>
    <w:rsid w:val="2DA421D8"/>
    <w:rsid w:val="2DB15B0A"/>
    <w:rsid w:val="2DC70D79"/>
    <w:rsid w:val="2DD70E6D"/>
    <w:rsid w:val="2E06702E"/>
    <w:rsid w:val="2E0D727C"/>
    <w:rsid w:val="2E2F6087"/>
    <w:rsid w:val="2E35172D"/>
    <w:rsid w:val="2E4F6AF7"/>
    <w:rsid w:val="2E546A3D"/>
    <w:rsid w:val="2E5536B7"/>
    <w:rsid w:val="2E9E7637"/>
    <w:rsid w:val="2EA841F6"/>
    <w:rsid w:val="2EB12C13"/>
    <w:rsid w:val="2F311AEC"/>
    <w:rsid w:val="2F77267F"/>
    <w:rsid w:val="2FB6176C"/>
    <w:rsid w:val="2FB62799"/>
    <w:rsid w:val="2FF54D7B"/>
    <w:rsid w:val="30011B77"/>
    <w:rsid w:val="30D27A6C"/>
    <w:rsid w:val="30D62465"/>
    <w:rsid w:val="313A7F1A"/>
    <w:rsid w:val="314E3306"/>
    <w:rsid w:val="316E2E45"/>
    <w:rsid w:val="31F518B4"/>
    <w:rsid w:val="320714E8"/>
    <w:rsid w:val="321D304E"/>
    <w:rsid w:val="32330B01"/>
    <w:rsid w:val="326E46A9"/>
    <w:rsid w:val="327553D9"/>
    <w:rsid w:val="32901329"/>
    <w:rsid w:val="32A70576"/>
    <w:rsid w:val="32F03195"/>
    <w:rsid w:val="332F19C1"/>
    <w:rsid w:val="333D467B"/>
    <w:rsid w:val="335D4DC3"/>
    <w:rsid w:val="336A566C"/>
    <w:rsid w:val="33D14A4F"/>
    <w:rsid w:val="33F83121"/>
    <w:rsid w:val="340F5823"/>
    <w:rsid w:val="34165FB6"/>
    <w:rsid w:val="34267C40"/>
    <w:rsid w:val="3436770A"/>
    <w:rsid w:val="34387327"/>
    <w:rsid w:val="34471A1C"/>
    <w:rsid w:val="34655FA3"/>
    <w:rsid w:val="350541CD"/>
    <w:rsid w:val="3547621E"/>
    <w:rsid w:val="35484873"/>
    <w:rsid w:val="354B5323"/>
    <w:rsid w:val="358459EC"/>
    <w:rsid w:val="358E73B3"/>
    <w:rsid w:val="35AB2292"/>
    <w:rsid w:val="35CA2376"/>
    <w:rsid w:val="35F0640C"/>
    <w:rsid w:val="360A515C"/>
    <w:rsid w:val="360E38D4"/>
    <w:rsid w:val="362A2347"/>
    <w:rsid w:val="36394F5A"/>
    <w:rsid w:val="364067B8"/>
    <w:rsid w:val="36660BCE"/>
    <w:rsid w:val="367F6E64"/>
    <w:rsid w:val="36A26885"/>
    <w:rsid w:val="37263626"/>
    <w:rsid w:val="372851EE"/>
    <w:rsid w:val="3768000F"/>
    <w:rsid w:val="37D55FA9"/>
    <w:rsid w:val="37ED6F30"/>
    <w:rsid w:val="380C749E"/>
    <w:rsid w:val="381A3126"/>
    <w:rsid w:val="383E6ABA"/>
    <w:rsid w:val="38622853"/>
    <w:rsid w:val="38742F80"/>
    <w:rsid w:val="387C2084"/>
    <w:rsid w:val="38972C6D"/>
    <w:rsid w:val="38C3730B"/>
    <w:rsid w:val="38C56216"/>
    <w:rsid w:val="38CC6EB9"/>
    <w:rsid w:val="38DC1699"/>
    <w:rsid w:val="38F85FD3"/>
    <w:rsid w:val="38FB2C52"/>
    <w:rsid w:val="3946124E"/>
    <w:rsid w:val="3949567E"/>
    <w:rsid w:val="394F79C6"/>
    <w:rsid w:val="3960609B"/>
    <w:rsid w:val="396C2B1D"/>
    <w:rsid w:val="398F6F41"/>
    <w:rsid w:val="39B94DDC"/>
    <w:rsid w:val="39CB5353"/>
    <w:rsid w:val="39D95D2F"/>
    <w:rsid w:val="39DD3F49"/>
    <w:rsid w:val="39E43196"/>
    <w:rsid w:val="3A311C20"/>
    <w:rsid w:val="3A670BA0"/>
    <w:rsid w:val="3A6E1F14"/>
    <w:rsid w:val="3A713C41"/>
    <w:rsid w:val="3A7D6A2D"/>
    <w:rsid w:val="3A7E400D"/>
    <w:rsid w:val="3A9B4DF7"/>
    <w:rsid w:val="3B1A6067"/>
    <w:rsid w:val="3B230123"/>
    <w:rsid w:val="3B3C3471"/>
    <w:rsid w:val="3B593973"/>
    <w:rsid w:val="3B5B7C4E"/>
    <w:rsid w:val="3B5F1D52"/>
    <w:rsid w:val="3B980F40"/>
    <w:rsid w:val="3B9F3B6A"/>
    <w:rsid w:val="3BAF662B"/>
    <w:rsid w:val="3BBD2E14"/>
    <w:rsid w:val="3BE045EC"/>
    <w:rsid w:val="3BF17417"/>
    <w:rsid w:val="3C073F6F"/>
    <w:rsid w:val="3C4557D3"/>
    <w:rsid w:val="3C4D019B"/>
    <w:rsid w:val="3C6E1052"/>
    <w:rsid w:val="3CC474D0"/>
    <w:rsid w:val="3CD80FCD"/>
    <w:rsid w:val="3CFC7809"/>
    <w:rsid w:val="3D076763"/>
    <w:rsid w:val="3D1C0680"/>
    <w:rsid w:val="3D2A7DD3"/>
    <w:rsid w:val="3D4A0FFB"/>
    <w:rsid w:val="3D502938"/>
    <w:rsid w:val="3D89149C"/>
    <w:rsid w:val="3DA62920"/>
    <w:rsid w:val="3E034A1E"/>
    <w:rsid w:val="3E21072A"/>
    <w:rsid w:val="3E2529AF"/>
    <w:rsid w:val="3E2A09DE"/>
    <w:rsid w:val="3E422EB1"/>
    <w:rsid w:val="3E50721D"/>
    <w:rsid w:val="3E57174B"/>
    <w:rsid w:val="3E6B6F0D"/>
    <w:rsid w:val="3E7948F6"/>
    <w:rsid w:val="3E833E95"/>
    <w:rsid w:val="3E84749A"/>
    <w:rsid w:val="3EA328EE"/>
    <w:rsid w:val="3EAC3EDB"/>
    <w:rsid w:val="3EDE1FE6"/>
    <w:rsid w:val="3EFD12B5"/>
    <w:rsid w:val="3EFD6F69"/>
    <w:rsid w:val="3F0F5E88"/>
    <w:rsid w:val="3F2076DD"/>
    <w:rsid w:val="3F774AD7"/>
    <w:rsid w:val="3F7C3201"/>
    <w:rsid w:val="3F907EBB"/>
    <w:rsid w:val="40195E9E"/>
    <w:rsid w:val="402C2A35"/>
    <w:rsid w:val="40414969"/>
    <w:rsid w:val="406331AC"/>
    <w:rsid w:val="406F26AF"/>
    <w:rsid w:val="40B8662B"/>
    <w:rsid w:val="40F70AE5"/>
    <w:rsid w:val="40FE13B8"/>
    <w:rsid w:val="412E16BA"/>
    <w:rsid w:val="415131EE"/>
    <w:rsid w:val="416D22FF"/>
    <w:rsid w:val="41864418"/>
    <w:rsid w:val="41DC305E"/>
    <w:rsid w:val="41E417D4"/>
    <w:rsid w:val="41E8444B"/>
    <w:rsid w:val="42003100"/>
    <w:rsid w:val="4221708D"/>
    <w:rsid w:val="42231EA1"/>
    <w:rsid w:val="425A4281"/>
    <w:rsid w:val="425C3611"/>
    <w:rsid w:val="428C4FE8"/>
    <w:rsid w:val="42AD1347"/>
    <w:rsid w:val="42C64978"/>
    <w:rsid w:val="42E35379"/>
    <w:rsid w:val="4304489F"/>
    <w:rsid w:val="43122DF9"/>
    <w:rsid w:val="431F24A2"/>
    <w:rsid w:val="436305AA"/>
    <w:rsid w:val="43770890"/>
    <w:rsid w:val="438E111E"/>
    <w:rsid w:val="43930CFE"/>
    <w:rsid w:val="43E70FB7"/>
    <w:rsid w:val="442223FE"/>
    <w:rsid w:val="44295459"/>
    <w:rsid w:val="44412873"/>
    <w:rsid w:val="445E55DD"/>
    <w:rsid w:val="4497055F"/>
    <w:rsid w:val="44EC67C0"/>
    <w:rsid w:val="44F62108"/>
    <w:rsid w:val="45081FB5"/>
    <w:rsid w:val="45640CC0"/>
    <w:rsid w:val="45BB256A"/>
    <w:rsid w:val="45D359B3"/>
    <w:rsid w:val="46031B1A"/>
    <w:rsid w:val="461368FE"/>
    <w:rsid w:val="46376FDF"/>
    <w:rsid w:val="4641342A"/>
    <w:rsid w:val="46573DF8"/>
    <w:rsid w:val="465C5AB0"/>
    <w:rsid w:val="4665783B"/>
    <w:rsid w:val="46710146"/>
    <w:rsid w:val="468338F9"/>
    <w:rsid w:val="469C63AF"/>
    <w:rsid w:val="46BF6783"/>
    <w:rsid w:val="46D00521"/>
    <w:rsid w:val="46E03F2E"/>
    <w:rsid w:val="46E152BB"/>
    <w:rsid w:val="473039E9"/>
    <w:rsid w:val="47417639"/>
    <w:rsid w:val="47525DFB"/>
    <w:rsid w:val="477B0FAA"/>
    <w:rsid w:val="478A5255"/>
    <w:rsid w:val="479765CE"/>
    <w:rsid w:val="47CA4D26"/>
    <w:rsid w:val="47CB4E65"/>
    <w:rsid w:val="47D12DA9"/>
    <w:rsid w:val="47E47452"/>
    <w:rsid w:val="480126D4"/>
    <w:rsid w:val="480E0859"/>
    <w:rsid w:val="48365F53"/>
    <w:rsid w:val="4854475F"/>
    <w:rsid w:val="488D327D"/>
    <w:rsid w:val="4892079E"/>
    <w:rsid w:val="48D65DA8"/>
    <w:rsid w:val="48F8017C"/>
    <w:rsid w:val="49027913"/>
    <w:rsid w:val="49465A24"/>
    <w:rsid w:val="495367D9"/>
    <w:rsid w:val="497004F9"/>
    <w:rsid w:val="49791342"/>
    <w:rsid w:val="4988281E"/>
    <w:rsid w:val="499301BD"/>
    <w:rsid w:val="49D9194E"/>
    <w:rsid w:val="49DE4A53"/>
    <w:rsid w:val="4A0B2AC6"/>
    <w:rsid w:val="4A38392B"/>
    <w:rsid w:val="4A7B1C0B"/>
    <w:rsid w:val="4A9625FF"/>
    <w:rsid w:val="4A9C491A"/>
    <w:rsid w:val="4ABE0742"/>
    <w:rsid w:val="4AC97AA9"/>
    <w:rsid w:val="4B136CA8"/>
    <w:rsid w:val="4B283E7D"/>
    <w:rsid w:val="4B383B82"/>
    <w:rsid w:val="4B5B2E49"/>
    <w:rsid w:val="4B6115AF"/>
    <w:rsid w:val="4BA33D2F"/>
    <w:rsid w:val="4BAA71CF"/>
    <w:rsid w:val="4C0C10F7"/>
    <w:rsid w:val="4C1578CB"/>
    <w:rsid w:val="4C235016"/>
    <w:rsid w:val="4C2F0F37"/>
    <w:rsid w:val="4C5920A6"/>
    <w:rsid w:val="4C616B9D"/>
    <w:rsid w:val="4CA9382A"/>
    <w:rsid w:val="4CDE436F"/>
    <w:rsid w:val="4CEA56D2"/>
    <w:rsid w:val="4D3232F2"/>
    <w:rsid w:val="4D3D0FC7"/>
    <w:rsid w:val="4D59716F"/>
    <w:rsid w:val="4D7016B7"/>
    <w:rsid w:val="4D7D3614"/>
    <w:rsid w:val="4D8C4CCA"/>
    <w:rsid w:val="4DA77FFB"/>
    <w:rsid w:val="4DBE7C7A"/>
    <w:rsid w:val="4DEA36C5"/>
    <w:rsid w:val="4DF41165"/>
    <w:rsid w:val="4DF65D97"/>
    <w:rsid w:val="4E1C1E58"/>
    <w:rsid w:val="4E437BC2"/>
    <w:rsid w:val="4E55561D"/>
    <w:rsid w:val="4E684EB2"/>
    <w:rsid w:val="4E967516"/>
    <w:rsid w:val="4EC3089E"/>
    <w:rsid w:val="4F12393F"/>
    <w:rsid w:val="4F833066"/>
    <w:rsid w:val="4FB533C0"/>
    <w:rsid w:val="4FC72E4E"/>
    <w:rsid w:val="4FEA000F"/>
    <w:rsid w:val="503A017C"/>
    <w:rsid w:val="50827B49"/>
    <w:rsid w:val="509A1083"/>
    <w:rsid w:val="509E47D4"/>
    <w:rsid w:val="50BA2B4E"/>
    <w:rsid w:val="50E1553C"/>
    <w:rsid w:val="5126407C"/>
    <w:rsid w:val="517D400A"/>
    <w:rsid w:val="519E480D"/>
    <w:rsid w:val="51D02F15"/>
    <w:rsid w:val="527F42D8"/>
    <w:rsid w:val="52A10FC2"/>
    <w:rsid w:val="52B0139D"/>
    <w:rsid w:val="52BE019D"/>
    <w:rsid w:val="52CF2D64"/>
    <w:rsid w:val="52DA2797"/>
    <w:rsid w:val="52EB0493"/>
    <w:rsid w:val="52EE091A"/>
    <w:rsid w:val="52FC17DA"/>
    <w:rsid w:val="52FC53EB"/>
    <w:rsid w:val="52FF26C8"/>
    <w:rsid w:val="533426C6"/>
    <w:rsid w:val="533757EF"/>
    <w:rsid w:val="533E15C9"/>
    <w:rsid w:val="53455594"/>
    <w:rsid w:val="535D3121"/>
    <w:rsid w:val="53794FE9"/>
    <w:rsid w:val="5383413B"/>
    <w:rsid w:val="538A1A07"/>
    <w:rsid w:val="538D1D7E"/>
    <w:rsid w:val="53A86EF5"/>
    <w:rsid w:val="53BE501C"/>
    <w:rsid w:val="53C11B24"/>
    <w:rsid w:val="53E361E6"/>
    <w:rsid w:val="53FD6947"/>
    <w:rsid w:val="540D1BAB"/>
    <w:rsid w:val="54385FBC"/>
    <w:rsid w:val="54AB054E"/>
    <w:rsid w:val="54B65E83"/>
    <w:rsid w:val="54BF62C2"/>
    <w:rsid w:val="54C6166A"/>
    <w:rsid w:val="54E95642"/>
    <w:rsid w:val="551F4C4C"/>
    <w:rsid w:val="5528041B"/>
    <w:rsid w:val="552D4CF3"/>
    <w:rsid w:val="55300869"/>
    <w:rsid w:val="555A1FFD"/>
    <w:rsid w:val="55845B25"/>
    <w:rsid w:val="55B45724"/>
    <w:rsid w:val="55EA00C3"/>
    <w:rsid w:val="560717EE"/>
    <w:rsid w:val="562C1C0F"/>
    <w:rsid w:val="566C6AE4"/>
    <w:rsid w:val="567E5F23"/>
    <w:rsid w:val="56BD592C"/>
    <w:rsid w:val="56CE449F"/>
    <w:rsid w:val="56F61B06"/>
    <w:rsid w:val="56FA10CC"/>
    <w:rsid w:val="57076DB5"/>
    <w:rsid w:val="5738588D"/>
    <w:rsid w:val="57487EE4"/>
    <w:rsid w:val="57957DB2"/>
    <w:rsid w:val="57A04677"/>
    <w:rsid w:val="580909B2"/>
    <w:rsid w:val="5811632A"/>
    <w:rsid w:val="585B3A56"/>
    <w:rsid w:val="585B56B7"/>
    <w:rsid w:val="58914FE6"/>
    <w:rsid w:val="58996AF9"/>
    <w:rsid w:val="590E4507"/>
    <w:rsid w:val="59870A63"/>
    <w:rsid w:val="598A025F"/>
    <w:rsid w:val="598B1CB6"/>
    <w:rsid w:val="59CB1C62"/>
    <w:rsid w:val="59D957AD"/>
    <w:rsid w:val="59DF2BC1"/>
    <w:rsid w:val="59F41DF7"/>
    <w:rsid w:val="5A011DDB"/>
    <w:rsid w:val="5A303602"/>
    <w:rsid w:val="5A552AD7"/>
    <w:rsid w:val="5A6055F2"/>
    <w:rsid w:val="5A610416"/>
    <w:rsid w:val="5A7F7D7F"/>
    <w:rsid w:val="5A9107C9"/>
    <w:rsid w:val="5AB0745C"/>
    <w:rsid w:val="5AB33A46"/>
    <w:rsid w:val="5AFA5A60"/>
    <w:rsid w:val="5B0B4788"/>
    <w:rsid w:val="5B0D2BA5"/>
    <w:rsid w:val="5B107F9E"/>
    <w:rsid w:val="5B133B65"/>
    <w:rsid w:val="5B6056AD"/>
    <w:rsid w:val="5B8302D1"/>
    <w:rsid w:val="5B8D620E"/>
    <w:rsid w:val="5BA634A6"/>
    <w:rsid w:val="5BA94617"/>
    <w:rsid w:val="5BB1641E"/>
    <w:rsid w:val="5BCF2373"/>
    <w:rsid w:val="5BE568BD"/>
    <w:rsid w:val="5BFA03CC"/>
    <w:rsid w:val="5C011A37"/>
    <w:rsid w:val="5C3A79E6"/>
    <w:rsid w:val="5C4121AE"/>
    <w:rsid w:val="5C5C1F79"/>
    <w:rsid w:val="5C7E4668"/>
    <w:rsid w:val="5CE046B9"/>
    <w:rsid w:val="5CFB73FC"/>
    <w:rsid w:val="5D2F04FF"/>
    <w:rsid w:val="5D355715"/>
    <w:rsid w:val="5D456F43"/>
    <w:rsid w:val="5D56030D"/>
    <w:rsid w:val="5D5E3D8C"/>
    <w:rsid w:val="5D813846"/>
    <w:rsid w:val="5D9B665C"/>
    <w:rsid w:val="5DBD5B4B"/>
    <w:rsid w:val="5DC424D2"/>
    <w:rsid w:val="5E0A6A6F"/>
    <w:rsid w:val="5E156111"/>
    <w:rsid w:val="5E742637"/>
    <w:rsid w:val="5E7D1096"/>
    <w:rsid w:val="5ED27BBB"/>
    <w:rsid w:val="5EDC38F2"/>
    <w:rsid w:val="5EDD717D"/>
    <w:rsid w:val="5F2A1498"/>
    <w:rsid w:val="5F2F255C"/>
    <w:rsid w:val="5F6201FB"/>
    <w:rsid w:val="5F9F4A9D"/>
    <w:rsid w:val="5FE13970"/>
    <w:rsid w:val="5FF44908"/>
    <w:rsid w:val="600146AD"/>
    <w:rsid w:val="60362621"/>
    <w:rsid w:val="60410CDF"/>
    <w:rsid w:val="605D215C"/>
    <w:rsid w:val="607F64A3"/>
    <w:rsid w:val="6091259E"/>
    <w:rsid w:val="609A6EE1"/>
    <w:rsid w:val="60AB42FE"/>
    <w:rsid w:val="60CA690E"/>
    <w:rsid w:val="60D605C8"/>
    <w:rsid w:val="60D72519"/>
    <w:rsid w:val="60DB4034"/>
    <w:rsid w:val="60DF0138"/>
    <w:rsid w:val="60F0022C"/>
    <w:rsid w:val="6105763A"/>
    <w:rsid w:val="616B2986"/>
    <w:rsid w:val="61B93B77"/>
    <w:rsid w:val="61D9015C"/>
    <w:rsid w:val="621B5A09"/>
    <w:rsid w:val="621E5009"/>
    <w:rsid w:val="623A4814"/>
    <w:rsid w:val="623A4CA1"/>
    <w:rsid w:val="623E399A"/>
    <w:rsid w:val="623E7AC3"/>
    <w:rsid w:val="6247361E"/>
    <w:rsid w:val="627536C2"/>
    <w:rsid w:val="627C3B14"/>
    <w:rsid w:val="6284717B"/>
    <w:rsid w:val="62D10A01"/>
    <w:rsid w:val="62DC3467"/>
    <w:rsid w:val="630D48A7"/>
    <w:rsid w:val="631E77B7"/>
    <w:rsid w:val="637F1486"/>
    <w:rsid w:val="6385721F"/>
    <w:rsid w:val="63E32EE5"/>
    <w:rsid w:val="6427677A"/>
    <w:rsid w:val="644F75CF"/>
    <w:rsid w:val="64651A18"/>
    <w:rsid w:val="647302BF"/>
    <w:rsid w:val="64A65E55"/>
    <w:rsid w:val="64BD263C"/>
    <w:rsid w:val="65046D14"/>
    <w:rsid w:val="65107832"/>
    <w:rsid w:val="651562B3"/>
    <w:rsid w:val="651F7B86"/>
    <w:rsid w:val="65360FC1"/>
    <w:rsid w:val="65462ABE"/>
    <w:rsid w:val="654D5481"/>
    <w:rsid w:val="65651E6D"/>
    <w:rsid w:val="65760439"/>
    <w:rsid w:val="65F472F8"/>
    <w:rsid w:val="65F96772"/>
    <w:rsid w:val="66431944"/>
    <w:rsid w:val="665B054E"/>
    <w:rsid w:val="665E517B"/>
    <w:rsid w:val="66A957CB"/>
    <w:rsid w:val="66B31E12"/>
    <w:rsid w:val="66C622E9"/>
    <w:rsid w:val="676019C3"/>
    <w:rsid w:val="686261F9"/>
    <w:rsid w:val="68677087"/>
    <w:rsid w:val="68814A8A"/>
    <w:rsid w:val="688712F8"/>
    <w:rsid w:val="68984441"/>
    <w:rsid w:val="68A67864"/>
    <w:rsid w:val="68B42DCC"/>
    <w:rsid w:val="68B81626"/>
    <w:rsid w:val="68D76B0D"/>
    <w:rsid w:val="69113E0D"/>
    <w:rsid w:val="693C1D74"/>
    <w:rsid w:val="69490E1B"/>
    <w:rsid w:val="695A0893"/>
    <w:rsid w:val="695D5DFC"/>
    <w:rsid w:val="69633B1C"/>
    <w:rsid w:val="698323B9"/>
    <w:rsid w:val="69A851EC"/>
    <w:rsid w:val="69CF4F2F"/>
    <w:rsid w:val="69D15919"/>
    <w:rsid w:val="6A052716"/>
    <w:rsid w:val="6A232FCA"/>
    <w:rsid w:val="6A2769A2"/>
    <w:rsid w:val="6A310CE6"/>
    <w:rsid w:val="6A996895"/>
    <w:rsid w:val="6AA926E7"/>
    <w:rsid w:val="6ACE42C9"/>
    <w:rsid w:val="6AE26CD1"/>
    <w:rsid w:val="6B065154"/>
    <w:rsid w:val="6B546B39"/>
    <w:rsid w:val="6BBC3F86"/>
    <w:rsid w:val="6BED3582"/>
    <w:rsid w:val="6BFE6921"/>
    <w:rsid w:val="6C1F4C0C"/>
    <w:rsid w:val="6C260557"/>
    <w:rsid w:val="6C8F4541"/>
    <w:rsid w:val="6CFE0210"/>
    <w:rsid w:val="6D0E107E"/>
    <w:rsid w:val="6D1A6BCB"/>
    <w:rsid w:val="6D3908F7"/>
    <w:rsid w:val="6D4D304F"/>
    <w:rsid w:val="6D4D58B8"/>
    <w:rsid w:val="6D696815"/>
    <w:rsid w:val="6D6B538E"/>
    <w:rsid w:val="6DB35A49"/>
    <w:rsid w:val="6DBF37E4"/>
    <w:rsid w:val="6DEA1D16"/>
    <w:rsid w:val="6DED5C45"/>
    <w:rsid w:val="6DEF50D0"/>
    <w:rsid w:val="6DF3627F"/>
    <w:rsid w:val="6DFC509C"/>
    <w:rsid w:val="6E7D4117"/>
    <w:rsid w:val="6EC62A74"/>
    <w:rsid w:val="6EFD4966"/>
    <w:rsid w:val="6F1B02E6"/>
    <w:rsid w:val="6F2C2CF4"/>
    <w:rsid w:val="6F397D19"/>
    <w:rsid w:val="6F784202"/>
    <w:rsid w:val="6F9F1C87"/>
    <w:rsid w:val="6FA749B1"/>
    <w:rsid w:val="6FB06BB6"/>
    <w:rsid w:val="6FC87424"/>
    <w:rsid w:val="6FF1555B"/>
    <w:rsid w:val="6FF36368"/>
    <w:rsid w:val="70385BA3"/>
    <w:rsid w:val="704E3346"/>
    <w:rsid w:val="705456E5"/>
    <w:rsid w:val="707449B6"/>
    <w:rsid w:val="707F6832"/>
    <w:rsid w:val="70804C50"/>
    <w:rsid w:val="70A61C6D"/>
    <w:rsid w:val="70FD01CD"/>
    <w:rsid w:val="71622D37"/>
    <w:rsid w:val="71D01E59"/>
    <w:rsid w:val="71D97111"/>
    <w:rsid w:val="71F355D0"/>
    <w:rsid w:val="71F904FE"/>
    <w:rsid w:val="72085FE1"/>
    <w:rsid w:val="72180081"/>
    <w:rsid w:val="722F39B2"/>
    <w:rsid w:val="7239333D"/>
    <w:rsid w:val="72397127"/>
    <w:rsid w:val="723C3F32"/>
    <w:rsid w:val="724F110D"/>
    <w:rsid w:val="7258459A"/>
    <w:rsid w:val="727B14A9"/>
    <w:rsid w:val="727B402F"/>
    <w:rsid w:val="728E513D"/>
    <w:rsid w:val="72901FE3"/>
    <w:rsid w:val="729563BE"/>
    <w:rsid w:val="72985756"/>
    <w:rsid w:val="72EC68F9"/>
    <w:rsid w:val="72F57809"/>
    <w:rsid w:val="731F12F1"/>
    <w:rsid w:val="732521BF"/>
    <w:rsid w:val="734848E8"/>
    <w:rsid w:val="7367153A"/>
    <w:rsid w:val="737E0118"/>
    <w:rsid w:val="740A255F"/>
    <w:rsid w:val="74192B3D"/>
    <w:rsid w:val="741B48C0"/>
    <w:rsid w:val="74453DC0"/>
    <w:rsid w:val="7478180D"/>
    <w:rsid w:val="74F01517"/>
    <w:rsid w:val="74FE166B"/>
    <w:rsid w:val="753D1FD7"/>
    <w:rsid w:val="754130EE"/>
    <w:rsid w:val="75431008"/>
    <w:rsid w:val="75492CAF"/>
    <w:rsid w:val="7576174F"/>
    <w:rsid w:val="758F001E"/>
    <w:rsid w:val="759740FA"/>
    <w:rsid w:val="75A14552"/>
    <w:rsid w:val="75B10AE3"/>
    <w:rsid w:val="75C90D10"/>
    <w:rsid w:val="75ED23CE"/>
    <w:rsid w:val="75F34C93"/>
    <w:rsid w:val="76347544"/>
    <w:rsid w:val="76687262"/>
    <w:rsid w:val="766E45A8"/>
    <w:rsid w:val="76945C6B"/>
    <w:rsid w:val="769C5B60"/>
    <w:rsid w:val="76A746AA"/>
    <w:rsid w:val="76C8047B"/>
    <w:rsid w:val="76F35C43"/>
    <w:rsid w:val="771B1815"/>
    <w:rsid w:val="77527378"/>
    <w:rsid w:val="775F5BBC"/>
    <w:rsid w:val="776357BE"/>
    <w:rsid w:val="77706B04"/>
    <w:rsid w:val="77945FE7"/>
    <w:rsid w:val="779C17E2"/>
    <w:rsid w:val="77A52202"/>
    <w:rsid w:val="77D33394"/>
    <w:rsid w:val="77E13D6D"/>
    <w:rsid w:val="78163C7D"/>
    <w:rsid w:val="785C586C"/>
    <w:rsid w:val="785E6944"/>
    <w:rsid w:val="786C0F14"/>
    <w:rsid w:val="788A70B4"/>
    <w:rsid w:val="788C0789"/>
    <w:rsid w:val="78AC04ED"/>
    <w:rsid w:val="78BE6713"/>
    <w:rsid w:val="78D5126D"/>
    <w:rsid w:val="78EB209C"/>
    <w:rsid w:val="79146AB1"/>
    <w:rsid w:val="7955545E"/>
    <w:rsid w:val="796C57D3"/>
    <w:rsid w:val="79736E77"/>
    <w:rsid w:val="79793F71"/>
    <w:rsid w:val="7A1A16EA"/>
    <w:rsid w:val="7A327711"/>
    <w:rsid w:val="7A482436"/>
    <w:rsid w:val="7A63493D"/>
    <w:rsid w:val="7A9E2CB6"/>
    <w:rsid w:val="7AA03A31"/>
    <w:rsid w:val="7AFF743B"/>
    <w:rsid w:val="7B0A49F4"/>
    <w:rsid w:val="7B205C52"/>
    <w:rsid w:val="7B26082B"/>
    <w:rsid w:val="7B8C3DF6"/>
    <w:rsid w:val="7B8F1B16"/>
    <w:rsid w:val="7BA7726A"/>
    <w:rsid w:val="7C203A72"/>
    <w:rsid w:val="7C3C4431"/>
    <w:rsid w:val="7C8655A7"/>
    <w:rsid w:val="7CA805D4"/>
    <w:rsid w:val="7CCF07B8"/>
    <w:rsid w:val="7D12332D"/>
    <w:rsid w:val="7D133BC6"/>
    <w:rsid w:val="7D17295F"/>
    <w:rsid w:val="7D193457"/>
    <w:rsid w:val="7D2443AF"/>
    <w:rsid w:val="7D32305E"/>
    <w:rsid w:val="7D534307"/>
    <w:rsid w:val="7D692278"/>
    <w:rsid w:val="7D9A0689"/>
    <w:rsid w:val="7DA1377B"/>
    <w:rsid w:val="7DCE6CF8"/>
    <w:rsid w:val="7E0117DD"/>
    <w:rsid w:val="7E042529"/>
    <w:rsid w:val="7E0952AF"/>
    <w:rsid w:val="7E2004FF"/>
    <w:rsid w:val="7E2547AE"/>
    <w:rsid w:val="7E40222F"/>
    <w:rsid w:val="7E6413CF"/>
    <w:rsid w:val="7E845AFC"/>
    <w:rsid w:val="7EBA286D"/>
    <w:rsid w:val="7EDA4543"/>
    <w:rsid w:val="7EDC4AE7"/>
    <w:rsid w:val="7F103187"/>
    <w:rsid w:val="7F2F38B5"/>
    <w:rsid w:val="7F340FC9"/>
    <w:rsid w:val="7F3423EB"/>
    <w:rsid w:val="7F76393D"/>
    <w:rsid w:val="7F7D4F74"/>
    <w:rsid w:val="7FA616C1"/>
    <w:rsid w:val="7FCD3276"/>
    <w:rsid w:val="7FD6517E"/>
    <w:rsid w:val="7FF3678F"/>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94"/>
        <o:r id="V:Rule2" type="connector" idref="#_x0000_s2096"/>
        <o:r id="V:Rule3" type="connector" idref="#_x0000_s2098"/>
        <o:r id="V:Rule4" type="connector" idref="#_x0000_s2100"/>
        <o:r id="V:Rule5" type="connector" idref="#_x0000_s2103"/>
        <o:r id="V:Rule6" type="connector" idref="#_x0000_s2104"/>
        <o:r id="V:Rule7" type="connector" idref="#_x0000_s2106"/>
        <o:r id="V:Rule8" type="connector" idref="#_x0000_s2108"/>
        <o:r id="V:Rule9" type="connector" idref="#_x0000_s2110"/>
        <o:r id="V:Rule10" type="connector" idref="#_x0000_s2112"/>
        <o:r id="V:Rule11" type="connector" idref="#_x0000_s2115"/>
        <o:r id="V:Rule12" type="connector" idref="#_x0000_s2117"/>
        <o:r id="V:Rule13" type="connector" idref="#_x0000_s2126"/>
        <o:r id="V:Rule14" type="connector" idref="#_x0000_s2128"/>
        <o:r id="V:Rule15" type="connector" idref="#_x0000_s2130"/>
        <o:r id="V:Rule16" type="connector" idref="#_x0000_s2133"/>
        <o:r id="V:Rule17" type="connector" idref="#_x0000_s2135"/>
        <o:r id="V:Rule18" type="connector" idref="#_x0000_s2142"/>
        <o:r id="V:Rule19" type="connector" idref="#_x0000_s2195"/>
        <o:r id="V:Rule20" type="connector" idref="#_x0000_s2197"/>
        <o:r id="V:Rule21" type="connector" idref="#_x0000_s2199"/>
        <o:r id="V:Rule22" type="connector" idref="#_x0000_s2201"/>
        <o:r id="V:Rule23" type="connector" idref="#_x0000_s2204"/>
        <o:r id="V:Rule24" type="connector" idref="#_x0000_s2205"/>
        <o:r id="V:Rule25" type="connector" idref="#_x0000_s2207"/>
        <o:r id="V:Rule26" type="connector" idref="#_x0000_s2211"/>
        <o:r id="V:Rule27" type="connector" idref="#直接箭头连接符 6"/>
        <o:r id="V:Rule28" type="connector" idref="#直接箭头连接符 7"/>
        <o:r id="V:Rule29" type="connector" idref="#直接箭头连接符 9"/>
        <o:r id="V:Rule30" type="connector" idref="#直接箭头连接符 11"/>
        <o:r id="V:Rule31" type="connector" idref="#直接箭头连接符 13"/>
        <o:r id="V:Rule32" type="connector" idref="#直接箭头连接符 16"/>
        <o:r id="V:Rule33" type="connector" idref="#直接箭头连接符 17"/>
        <o:r id="V:Rule34" type="connector" idref="#直接箭头连接符 19"/>
        <o:r id="V:Rule35" type="connector" idref="#直接箭头连接符 22"/>
        <o:r id="V:Rule36" type="connector" idref="#直接箭头连接符 23"/>
        <o:r id="V:Rule37" type="connector" idref="#直接箭头连接符 26"/>
        <o:r id="V:Rule38" type="connector" idref="#直接箭头连接符 28"/>
        <o:r id="V:Rule39" type="connector" idref="#直接箭头连接符 31"/>
        <o:r id="V:Rule40" type="connector" idref="#直接箭头连接符 32"/>
        <o:r id="V:Rule41" type="connector" idref="#直接箭头连接符 33"/>
        <o:r id="V:Rule42" type="connector" idref="#直接连接符 81"/>
        <o:r id="V:Rule43" type="connector" idref="#直接箭头连接符 4"/>
        <o:r id="V:Rule44" type="connector" idref="#直接箭头连接符 6"/>
        <o:r id="V:Rule45" type="connector" idref="#直接箭头连接符 9"/>
        <o:r id="V:Rule46" type="connector" idref="#直接箭头连接符 12"/>
        <o:r id="V:Rule47" type="connector" idref="#直接箭头连接符 13"/>
        <o:r id="V:Rule48" type="connector" idref="#直接箭头连接符 15"/>
        <o:r id="V:Rule49" type="connector" idref="#直接箭头连接符 20"/>
        <o:r id="V:Rule50" type="connector" idref="#直接箭头连接符 23"/>
        <o:r id="V:Rule51" type="connector" idref="#直接箭头连接符 25"/>
        <o:r id="V:Rule52" type="connector" idref="#直接箭头连接符 27"/>
        <o:r id="V:Rule53" type="connector" idref="#直接箭头连接符 29"/>
        <o:r id="V:Rule54" type="connector" idref="#直接箭头连接符 35">
          <o:proxy start="" idref="#文本框 33" connectloc="2"/>
        </o:r>
        <o:r id="V:Rule55" type="connector" idref="#直接箭头连接符 37"/>
        <o:r id="V:Rule56" type="connector" idref="#直接箭头连接符 39"/>
        <o:r id="V:Rule57" type="connector" idref="#直接箭头连接符 42"/>
        <o:r id="V:Rule58" type="connector" idref="#直接箭头连接符 44"/>
        <o:r id="V:Rule59" type="connector" idref="#直接箭头连接符 50">
          <o:proxy start="" idref="#文本框 16" connectloc="0"/>
        </o:r>
        <o:r id="V:Rule60" type="connector" idref="#直接箭头连接符 16"/>
        <o:r id="V:Rule61" type="connector" idref="#直接箭头连接符 17"/>
        <o:r id="V:Rule62" type="connector" idref="#直接箭头连接符 18"/>
        <o:r id="V:Rule63" type="connector" idref="#直接箭头连接符 19"/>
        <o:r id="V:Rule64" type="connector" idref="#直接箭头连接符 20"/>
        <o:r id="V:Rule65" type="connector" idref="#直接箭头连接符 27">
          <o:proxy start="" idref="#文本框 16" connectloc="2"/>
        </o:r>
        <o:r id="V:Rule66" type="connector" idref="#直接箭头连接符 37"/>
        <o:r id="V:Rule67" type="connector" idref="#直接箭头连接符 39"/>
        <o:r id="V:Rule68" type="connector" idref="#直接箭头连接符 42"/>
        <o:r id="V:Rule69" type="connector" idref="#直接箭头连接符 44"/>
        <o:r id="V:Rule70" type="connector" idref="#直接箭头连接符 45"/>
        <o:r id="V:Rule71" type="connector" idref="#直接箭头连接符 47"/>
        <o:r id="V:Rule72" type="connector" idref="#直接箭头连接符 49"/>
        <o:r id="V:Rule73" type="connector" idref="#直接箭头连接符 51"/>
        <o:r id="V:Rule74" type="connector" idref="#直接箭头连接符 53"/>
        <o:r id="V:Rule75" type="connector" idref="#直接箭头连接符 56"/>
        <o:r id="V:Rule76" type="connector" idref="#直接箭头连接符 58"/>
        <o:r id="V:Rule77" type="connector" idref="#直接箭头连接符 67"/>
        <o:r id="V:Rule78" type="connector" idref="#直接箭头连接符 69">
          <o:proxy end="" idref="#文本框 16" connectloc="0"/>
        </o:r>
        <o:r id="V:Rule79" type="connector" idref="#直接箭头连接符 6"/>
        <o:r id="V:Rule80" type="connector" idref="#直接箭头连接符 38"/>
        <o:r id="V:Rule81" type="connector" idref="#曲线连接符 43"/>
        <o:r id="V:Rule82" type="connector" idref="#曲线连接符 49"/>
        <o:r id="V:Rule83" type="connector" idref="#直接箭头连接符 75"/>
        <o:r id="V:Rule84" type="connector" idref="#直接箭头连接符 76"/>
        <o:r id="V:Rule85" type="connector" idref="#直接箭头连接符 94"/>
        <o:r id="V:Rule86" type="connector" idref="#直接箭头连接符 97">
          <o:proxy start="" idref="#文本框 95" connectloc="3"/>
        </o:r>
        <o:r id="V:Rule87" type="connector" idref="#直接箭头连接符 99"/>
        <o:r id="V:Rule88" type="connector" idref="#直接箭头连接符 10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2"/>
    <w:qFormat/>
    <w:uiPriority w:val="99"/>
    <w:pPr>
      <w:keepNext/>
      <w:keepLines/>
      <w:spacing w:before="340" w:after="330" w:line="578" w:lineRule="auto"/>
      <w:outlineLvl w:val="0"/>
    </w:pPr>
    <w:rPr>
      <w:b/>
      <w:bCs/>
      <w:kern w:val="44"/>
      <w:sz w:val="32"/>
      <w:szCs w:val="44"/>
    </w:rPr>
  </w:style>
  <w:style w:type="paragraph" w:styleId="3">
    <w:name w:val="heading 2"/>
    <w:basedOn w:val="1"/>
    <w:next w:val="1"/>
    <w:link w:val="23"/>
    <w:qFormat/>
    <w:uiPriority w:val="9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4"/>
    <w:qFormat/>
    <w:uiPriority w:val="99"/>
    <w:pPr>
      <w:keepNext/>
      <w:keepLines/>
      <w:spacing w:before="260" w:after="260" w:line="416" w:lineRule="auto"/>
      <w:outlineLvl w:val="2"/>
    </w:pPr>
    <w:rPr>
      <w:b/>
      <w:bCs/>
      <w:sz w:val="32"/>
      <w:szCs w:val="32"/>
    </w:rPr>
  </w:style>
  <w:style w:type="character" w:default="1" w:styleId="16">
    <w:name w:val="Default Paragraph Font"/>
    <w:link w:val="17"/>
    <w:unhideWhenUsed/>
    <w:qFormat/>
    <w:uiPriority w:val="1"/>
    <w:rPr>
      <w:rFonts w:eastAsia="仿宋_GB2312"/>
      <w:sz w:val="24"/>
    </w:rPr>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link w:val="42"/>
    <w:qFormat/>
    <w:uiPriority w:val="99"/>
    <w:pPr>
      <w:spacing w:before="60" w:line="360" w:lineRule="auto"/>
      <w:jc w:val="center"/>
    </w:pPr>
    <w:rPr>
      <w:rFonts w:eastAsia="黑体"/>
      <w:sz w:val="24"/>
      <w:szCs w:val="20"/>
    </w:rPr>
  </w:style>
  <w:style w:type="paragraph" w:styleId="6">
    <w:name w:val="Document Map"/>
    <w:basedOn w:val="1"/>
    <w:link w:val="50"/>
    <w:semiHidden/>
    <w:qFormat/>
    <w:uiPriority w:val="99"/>
    <w:pPr>
      <w:shd w:val="clear" w:color="auto" w:fill="000080"/>
    </w:pPr>
  </w:style>
  <w:style w:type="paragraph" w:styleId="7">
    <w:name w:val="Body Text"/>
    <w:basedOn w:val="1"/>
    <w:link w:val="25"/>
    <w:qFormat/>
    <w:uiPriority w:val="99"/>
    <w:pPr>
      <w:spacing w:after="120"/>
    </w:pPr>
  </w:style>
  <w:style w:type="paragraph" w:styleId="8">
    <w:name w:val="List 2"/>
    <w:basedOn w:val="1"/>
    <w:qFormat/>
    <w:uiPriority w:val="99"/>
    <w:pPr>
      <w:spacing w:line="360" w:lineRule="exact"/>
      <w:jc w:val="center"/>
    </w:pPr>
    <w:rPr>
      <w:rFonts w:ascii="仿宋_GB2312" w:eastAsia="仿宋_GB2312"/>
    </w:rPr>
  </w:style>
  <w:style w:type="paragraph" w:styleId="9">
    <w:name w:val="Plain Text"/>
    <w:basedOn w:val="1"/>
    <w:link w:val="26"/>
    <w:qFormat/>
    <w:uiPriority w:val="99"/>
    <w:rPr>
      <w:rFonts w:ascii="宋体" w:hAnsi="Courier New"/>
      <w:szCs w:val="20"/>
    </w:rPr>
  </w:style>
  <w:style w:type="paragraph" w:styleId="10">
    <w:name w:val="footer"/>
    <w:basedOn w:val="1"/>
    <w:link w:val="27"/>
    <w:qFormat/>
    <w:uiPriority w:val="99"/>
    <w:pPr>
      <w:tabs>
        <w:tab w:val="center" w:pos="4153"/>
        <w:tab w:val="right" w:pos="8306"/>
      </w:tabs>
      <w:snapToGrid w:val="0"/>
      <w:jc w:val="left"/>
    </w:pPr>
    <w:rPr>
      <w:sz w:val="18"/>
      <w:szCs w:val="18"/>
    </w:rPr>
  </w:style>
  <w:style w:type="paragraph" w:styleId="11">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99"/>
    <w:pPr>
      <w:tabs>
        <w:tab w:val="right" w:leader="dot" w:pos="8296"/>
      </w:tabs>
      <w:adjustRightInd w:val="0"/>
      <w:snapToGrid w:val="0"/>
      <w:spacing w:beforeLines="50" w:afterLines="50" w:line="360" w:lineRule="auto"/>
      <w:jc w:val="center"/>
    </w:pPr>
    <w:rPr>
      <w:b/>
      <w:sz w:val="24"/>
    </w:rPr>
  </w:style>
  <w:style w:type="paragraph" w:styleId="13">
    <w:name w:val="Body Text Indent 3"/>
    <w:basedOn w:val="1"/>
    <w:unhideWhenUsed/>
    <w:qFormat/>
    <w:uiPriority w:val="99"/>
    <w:pPr>
      <w:spacing w:line="360" w:lineRule="auto"/>
      <w:ind w:firstLine="480"/>
    </w:pPr>
    <w:rPr>
      <w:rFonts w:ascii="华文仿宋" w:hAnsi="华文仿宋" w:eastAsia="华文仿宋"/>
      <w:color w:val="000000"/>
      <w:sz w:val="24"/>
    </w:rPr>
  </w:style>
  <w:style w:type="paragraph" w:styleId="14">
    <w:name w:val="toc 2"/>
    <w:basedOn w:val="1"/>
    <w:next w:val="1"/>
    <w:qFormat/>
    <w:uiPriority w:val="99"/>
    <w:pPr>
      <w:tabs>
        <w:tab w:val="right" w:leader="dot" w:pos="8296"/>
      </w:tabs>
      <w:adjustRightInd w:val="0"/>
      <w:snapToGrid w:val="0"/>
      <w:spacing w:line="360" w:lineRule="auto"/>
    </w:pPr>
    <w:rPr>
      <w:rFonts w:ascii="黑体" w:hAnsi="黑体" w:eastAsia="黑体"/>
      <w:sz w:val="24"/>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customStyle="1" w:styleId="17">
    <w:name w:val=" Char Char Char1 Char Char Char Char Char Char Char Char Char Char Char Char Char Char Char1 Char Char Char Char Char Char Char Char Char Char Char Char Char Char Char Char Char Char Char Char Char Char Char Char Char Char Char"/>
    <w:basedOn w:val="1"/>
    <w:link w:val="16"/>
    <w:qFormat/>
    <w:uiPriority w:val="0"/>
    <w:pPr>
      <w:snapToGrid w:val="0"/>
      <w:spacing w:line="360" w:lineRule="auto"/>
      <w:ind w:firstLine="200" w:firstLineChars="200"/>
    </w:pPr>
    <w:rPr>
      <w:rFonts w:eastAsia="仿宋_GB2312"/>
      <w:sz w:val="24"/>
    </w:rPr>
  </w:style>
  <w:style w:type="character" w:styleId="18">
    <w:name w:val="page number"/>
    <w:basedOn w:val="16"/>
    <w:qFormat/>
    <w:uiPriority w:val="99"/>
    <w:rPr>
      <w:rFonts w:cs="Times New Roman"/>
    </w:rPr>
  </w:style>
  <w:style w:type="character" w:styleId="19">
    <w:name w:val="Hyperlink"/>
    <w:qFormat/>
    <w:uiPriority w:val="99"/>
    <w:rPr>
      <w:rFonts w:cs="Times New Roman"/>
      <w:color w:val="0000FF"/>
      <w:u w:val="single"/>
    </w:rPr>
  </w:style>
  <w:style w:type="table" w:styleId="21">
    <w:name w:val="Table Grid"/>
    <w:basedOn w:val="20"/>
    <w:unhideWhenUsed/>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22">
    <w:name w:val="标题 1 Char"/>
    <w:link w:val="2"/>
    <w:qFormat/>
    <w:locked/>
    <w:uiPriority w:val="99"/>
    <w:rPr>
      <w:rFonts w:ascii="Times New Roman" w:hAnsi="Times New Roman" w:eastAsia="宋体" w:cs="Times New Roman"/>
      <w:b/>
      <w:bCs/>
      <w:kern w:val="44"/>
      <w:sz w:val="32"/>
      <w:szCs w:val="44"/>
    </w:rPr>
  </w:style>
  <w:style w:type="character" w:customStyle="1" w:styleId="23">
    <w:name w:val="标题 2 Char"/>
    <w:link w:val="3"/>
    <w:semiHidden/>
    <w:qFormat/>
    <w:locked/>
    <w:uiPriority w:val="99"/>
    <w:rPr>
      <w:rFonts w:ascii="Calibri Light" w:hAnsi="Calibri Light" w:eastAsia="宋体" w:cs="Times New Roman"/>
      <w:b/>
      <w:bCs/>
      <w:sz w:val="32"/>
      <w:szCs w:val="32"/>
    </w:rPr>
  </w:style>
  <w:style w:type="character" w:customStyle="1" w:styleId="24">
    <w:name w:val="标题 3 Char"/>
    <w:link w:val="4"/>
    <w:semiHidden/>
    <w:qFormat/>
    <w:locked/>
    <w:uiPriority w:val="99"/>
    <w:rPr>
      <w:rFonts w:ascii="Times New Roman" w:hAnsi="Times New Roman" w:eastAsia="宋体" w:cs="Times New Roman"/>
      <w:b/>
      <w:bCs/>
      <w:sz w:val="32"/>
      <w:szCs w:val="32"/>
    </w:rPr>
  </w:style>
  <w:style w:type="character" w:customStyle="1" w:styleId="25">
    <w:name w:val="正文文本 Char"/>
    <w:link w:val="7"/>
    <w:semiHidden/>
    <w:qFormat/>
    <w:uiPriority w:val="99"/>
    <w:rPr>
      <w:rFonts w:ascii="Times New Roman" w:hAnsi="Times New Roman"/>
      <w:szCs w:val="24"/>
    </w:rPr>
  </w:style>
  <w:style w:type="character" w:customStyle="1" w:styleId="26">
    <w:name w:val="纯文本 Char"/>
    <w:link w:val="9"/>
    <w:qFormat/>
    <w:locked/>
    <w:uiPriority w:val="99"/>
    <w:rPr>
      <w:rFonts w:ascii="宋体" w:hAnsi="Courier New" w:eastAsia="宋体" w:cs="Times New Roman"/>
      <w:sz w:val="20"/>
      <w:szCs w:val="20"/>
    </w:rPr>
  </w:style>
  <w:style w:type="character" w:customStyle="1" w:styleId="27">
    <w:name w:val="页脚 Char"/>
    <w:link w:val="10"/>
    <w:qFormat/>
    <w:locked/>
    <w:uiPriority w:val="99"/>
    <w:rPr>
      <w:rFonts w:cs="Times New Roman"/>
      <w:sz w:val="18"/>
      <w:szCs w:val="18"/>
    </w:rPr>
  </w:style>
  <w:style w:type="character" w:customStyle="1" w:styleId="28">
    <w:name w:val="页眉 Char"/>
    <w:link w:val="11"/>
    <w:qFormat/>
    <w:locked/>
    <w:uiPriority w:val="99"/>
    <w:rPr>
      <w:rFonts w:cs="Times New Roman"/>
      <w:sz w:val="18"/>
      <w:szCs w:val="18"/>
    </w:rPr>
  </w:style>
  <w:style w:type="paragraph" w:customStyle="1" w:styleId="29">
    <w:name w:val="题1"/>
    <w:basedOn w:val="2"/>
    <w:qFormat/>
    <w:uiPriority w:val="99"/>
    <w:pPr>
      <w:adjustRightInd w:val="0"/>
      <w:snapToGrid w:val="0"/>
      <w:spacing w:beforeLines="50" w:afterLines="50" w:line="360" w:lineRule="auto"/>
    </w:pPr>
    <w:rPr>
      <w:sz w:val="32"/>
      <w:szCs w:val="32"/>
    </w:rPr>
  </w:style>
  <w:style w:type="paragraph" w:customStyle="1" w:styleId="30">
    <w:name w:val="题2"/>
    <w:basedOn w:val="3"/>
    <w:link w:val="31"/>
    <w:qFormat/>
    <w:uiPriority w:val="99"/>
    <w:pPr>
      <w:adjustRightInd w:val="0"/>
      <w:snapToGrid w:val="0"/>
      <w:spacing w:beforeLines="50" w:afterLines="50" w:line="360" w:lineRule="auto"/>
    </w:pPr>
    <w:rPr>
      <w:rFonts w:ascii="Times New Roman" w:hAnsi="Times New Roman"/>
      <w:sz w:val="30"/>
      <w:szCs w:val="28"/>
    </w:rPr>
  </w:style>
  <w:style w:type="character" w:customStyle="1" w:styleId="31">
    <w:name w:val="题2 Char"/>
    <w:link w:val="30"/>
    <w:qFormat/>
    <w:locked/>
    <w:uiPriority w:val="99"/>
    <w:rPr>
      <w:rFonts w:ascii="Times New Roman" w:hAnsi="Times New Roman" w:eastAsia="宋体" w:cs="Times New Roman"/>
      <w:b/>
      <w:bCs/>
      <w:sz w:val="28"/>
      <w:szCs w:val="28"/>
    </w:rPr>
  </w:style>
  <w:style w:type="paragraph" w:customStyle="1" w:styleId="32">
    <w:name w:val="题3"/>
    <w:basedOn w:val="4"/>
    <w:link w:val="33"/>
    <w:qFormat/>
    <w:uiPriority w:val="99"/>
    <w:pPr>
      <w:adjustRightInd w:val="0"/>
      <w:snapToGrid w:val="0"/>
      <w:spacing w:beforeLines="50" w:afterLines="50" w:line="360" w:lineRule="auto"/>
    </w:pPr>
    <w:rPr>
      <w:bCs w:val="0"/>
      <w:kern w:val="0"/>
      <w:sz w:val="24"/>
      <w:szCs w:val="20"/>
      <w:lang w:val="zh-CN"/>
    </w:rPr>
  </w:style>
  <w:style w:type="character" w:customStyle="1" w:styleId="33">
    <w:name w:val="题3 Char"/>
    <w:link w:val="32"/>
    <w:qFormat/>
    <w:locked/>
    <w:uiPriority w:val="99"/>
    <w:rPr>
      <w:rFonts w:ascii="Times New Roman" w:hAnsi="Times New Roman" w:eastAsia="宋体"/>
      <w:b/>
      <w:sz w:val="20"/>
      <w:lang w:val="zh-CN" w:eastAsia="zh-CN"/>
    </w:rPr>
  </w:style>
  <w:style w:type="paragraph" w:customStyle="1" w:styleId="34">
    <w:name w:val="表格"/>
    <w:basedOn w:val="35"/>
    <w:link w:val="36"/>
    <w:qFormat/>
    <w:uiPriority w:val="99"/>
    <w:pPr>
      <w:adjustRightInd w:val="0"/>
      <w:snapToGrid w:val="0"/>
    </w:pPr>
    <w:rPr>
      <w:szCs w:val="21"/>
    </w:rPr>
  </w:style>
  <w:style w:type="paragraph" w:customStyle="1" w:styleId="35">
    <w:name w:val="表格文字"/>
    <w:basedOn w:val="7"/>
    <w:next w:val="7"/>
    <w:qFormat/>
    <w:uiPriority w:val="99"/>
    <w:pPr>
      <w:spacing w:after="0" w:line="360" w:lineRule="exact"/>
      <w:jc w:val="center"/>
    </w:pPr>
    <w:rPr>
      <w:spacing w:val="-4"/>
      <w:kern w:val="0"/>
      <w:sz w:val="24"/>
      <w:szCs w:val="28"/>
    </w:rPr>
  </w:style>
  <w:style w:type="character" w:customStyle="1" w:styleId="36">
    <w:name w:val="表格 Char"/>
    <w:link w:val="34"/>
    <w:qFormat/>
    <w:locked/>
    <w:uiPriority w:val="99"/>
    <w:rPr>
      <w:rFonts w:ascii="Times New Roman" w:hAnsi="Times New Roman" w:eastAsia="宋体" w:cs="Times New Roman"/>
      <w:spacing w:val="-4"/>
      <w:kern w:val="0"/>
      <w:sz w:val="21"/>
      <w:szCs w:val="21"/>
    </w:rPr>
  </w:style>
  <w:style w:type="paragraph" w:customStyle="1" w:styleId="37">
    <w:name w:val="样式 表格 + 黑色"/>
    <w:basedOn w:val="34"/>
    <w:link w:val="38"/>
    <w:qFormat/>
    <w:uiPriority w:val="99"/>
    <w:rPr>
      <w:color w:val="000000"/>
    </w:rPr>
  </w:style>
  <w:style w:type="character" w:customStyle="1" w:styleId="38">
    <w:name w:val="样式 表格 + 黑色 Char"/>
    <w:link w:val="37"/>
    <w:qFormat/>
    <w:locked/>
    <w:uiPriority w:val="99"/>
    <w:rPr>
      <w:rFonts w:ascii="Times New Roman" w:hAnsi="Times New Roman" w:eastAsia="宋体" w:cs="Times New Roman"/>
      <w:color w:val="000000"/>
      <w:spacing w:val="-4"/>
      <w:kern w:val="0"/>
      <w:sz w:val="21"/>
      <w:szCs w:val="21"/>
    </w:rPr>
  </w:style>
  <w:style w:type="paragraph" w:customStyle="1" w:styleId="39">
    <w:name w:val="文本"/>
    <w:basedOn w:val="1"/>
    <w:link w:val="40"/>
    <w:qFormat/>
    <w:uiPriority w:val="99"/>
    <w:pPr>
      <w:adjustRightInd w:val="0"/>
      <w:snapToGrid w:val="0"/>
      <w:spacing w:line="360" w:lineRule="auto"/>
      <w:ind w:firstLine="200" w:firstLineChars="200"/>
    </w:pPr>
    <w:rPr>
      <w:sz w:val="24"/>
    </w:rPr>
  </w:style>
  <w:style w:type="character" w:customStyle="1" w:styleId="40">
    <w:name w:val="文本 Char"/>
    <w:link w:val="39"/>
    <w:qFormat/>
    <w:locked/>
    <w:uiPriority w:val="99"/>
    <w:rPr>
      <w:rFonts w:ascii="Times New Roman" w:hAnsi="Times New Roman" w:eastAsia="宋体" w:cs="Times New Roman"/>
      <w:sz w:val="24"/>
      <w:szCs w:val="24"/>
    </w:rPr>
  </w:style>
  <w:style w:type="paragraph" w:customStyle="1" w:styleId="41">
    <w:name w:val="列出段落1"/>
    <w:basedOn w:val="1"/>
    <w:qFormat/>
    <w:uiPriority w:val="99"/>
    <w:pPr>
      <w:ind w:firstLine="420" w:firstLineChars="200"/>
    </w:pPr>
    <w:rPr>
      <w:rFonts w:ascii="Calibri" w:hAnsi="Calibri"/>
      <w:szCs w:val="22"/>
    </w:rPr>
  </w:style>
  <w:style w:type="character" w:customStyle="1" w:styleId="42">
    <w:name w:val="正文缩进 Char"/>
    <w:link w:val="5"/>
    <w:qFormat/>
    <w:locked/>
    <w:uiPriority w:val="99"/>
    <w:rPr>
      <w:rFonts w:ascii="Times New Roman" w:hAnsi="Times New Roman" w:eastAsia="黑体" w:cs="Times New Roman"/>
      <w:sz w:val="20"/>
      <w:szCs w:val="20"/>
    </w:rPr>
  </w:style>
  <w:style w:type="paragraph" w:customStyle="1" w:styleId="43">
    <w:name w:val="表头"/>
    <w:basedOn w:val="1"/>
    <w:link w:val="44"/>
    <w:qFormat/>
    <w:uiPriority w:val="99"/>
    <w:pPr>
      <w:adjustRightInd w:val="0"/>
      <w:snapToGrid w:val="0"/>
      <w:spacing w:line="360" w:lineRule="auto"/>
      <w:jc w:val="center"/>
    </w:pPr>
    <w:rPr>
      <w:spacing w:val="-4"/>
      <w:kern w:val="0"/>
      <w:sz w:val="24"/>
    </w:rPr>
  </w:style>
  <w:style w:type="character" w:customStyle="1" w:styleId="44">
    <w:name w:val="表头 Char"/>
    <w:link w:val="43"/>
    <w:qFormat/>
    <w:locked/>
    <w:uiPriority w:val="99"/>
    <w:rPr>
      <w:rFonts w:ascii="Times New Roman" w:hAnsi="Times New Roman" w:eastAsia="宋体" w:cs="Times New Roman"/>
      <w:spacing w:val="-4"/>
      <w:kern w:val="0"/>
      <w:sz w:val="24"/>
      <w:szCs w:val="24"/>
    </w:rPr>
  </w:style>
  <w:style w:type="paragraph" w:customStyle="1" w:styleId="45">
    <w:name w:val="表格正文"/>
    <w:basedOn w:val="1"/>
    <w:qFormat/>
    <w:uiPriority w:val="99"/>
    <w:pPr>
      <w:spacing w:line="360" w:lineRule="exact"/>
      <w:jc w:val="center"/>
    </w:pPr>
    <w:rPr>
      <w:szCs w:val="20"/>
    </w:rPr>
  </w:style>
  <w:style w:type="paragraph" w:customStyle="1" w:styleId="46">
    <w:name w:val="列出段落2"/>
    <w:basedOn w:val="1"/>
    <w:qFormat/>
    <w:uiPriority w:val="99"/>
    <w:pPr>
      <w:ind w:firstLine="420" w:firstLineChars="200"/>
    </w:pPr>
    <w:rPr>
      <w:rFonts w:ascii="Calibri" w:hAnsi="Calibri"/>
      <w:szCs w:val="22"/>
    </w:rPr>
  </w:style>
  <w:style w:type="paragraph" w:customStyle="1" w:styleId="47">
    <w:name w:val="图文框"/>
    <w:basedOn w:val="1"/>
    <w:qFormat/>
    <w:uiPriority w:val="99"/>
    <w:pPr>
      <w:adjustRightInd w:val="0"/>
      <w:snapToGrid w:val="0"/>
      <w:jc w:val="center"/>
    </w:pPr>
    <w:rPr>
      <w:rFonts w:ascii="仿宋" w:hAnsi="仿宋" w:eastAsia="仿宋"/>
      <w:spacing w:val="-8"/>
      <w:sz w:val="24"/>
    </w:rPr>
  </w:style>
  <w:style w:type="paragraph" w:customStyle="1" w:styleId="48">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49">
    <w:name w:val="列出段落3"/>
    <w:basedOn w:val="1"/>
    <w:qFormat/>
    <w:uiPriority w:val="99"/>
    <w:pPr>
      <w:ind w:firstLine="420" w:firstLineChars="200"/>
    </w:pPr>
    <w:rPr>
      <w:rFonts w:ascii="Calibri" w:hAnsi="Calibri"/>
      <w:szCs w:val="22"/>
    </w:rPr>
  </w:style>
  <w:style w:type="character" w:customStyle="1" w:styleId="50">
    <w:name w:val="文档结构图 Char"/>
    <w:link w:val="6"/>
    <w:semiHidden/>
    <w:qFormat/>
    <w:uiPriority w:val="99"/>
    <w:rPr>
      <w:rFonts w:ascii="Times New Roman" w:hAnsi="Times New Roman"/>
      <w:sz w:val="0"/>
      <w:szCs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png"/><Relationship Id="rId22" Type="http://schemas.openxmlformats.org/officeDocument/2006/relationships/oleObject" Target="embeddings/oleObject3.bin"/><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emf"/><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462"/>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092"/>
    <customShpInfo spid="_x0000_s2404"/>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193"/>
    <customShpInfo spid="_x0000_s2212"/>
    <customShpInfo spid="_x0000_s219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267"/>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269"/>
    <customShpInfo spid="_x0000_s2300"/>
    <customShpInfo spid="_x0000_s2268"/>
    <customShpInfo spid="_x0000_s2301"/>
    <customShpInfo spid="_x0000_s2302"/>
    <customShpInfo spid="_x0000_s2303"/>
    <customShpInfo spid="_x0000_s2305"/>
    <customShpInfo spid="_x0000_s2306"/>
    <customShpInfo spid="_x0000_s2304"/>
    <customShpInfo spid="_x0000_s2354"/>
    <customShpInfo spid="_x0000_s2355"/>
    <customShpInfo spid="_x0000_s2353"/>
    <customShpInfo spid="_x0000_s2349"/>
    <customShpInfo spid="_x0000_s2352"/>
    <customShpInfo spid="_x0000_s2351"/>
    <customShpInfo spid="_x0000_s2350"/>
    <customShpInfo spid="_x0000_s2348"/>
    <customShpInfo spid="_x0000_s2346"/>
    <customShpInfo spid="_x0000_s2347"/>
    <customShpInfo spid="_x0000_s2331"/>
    <customShpInfo spid="_x0000_s2310"/>
    <customShpInfo spid="_x0000_s2330"/>
    <customShpInfo spid="_x0000_s2311"/>
    <customShpInfo spid="_x0000_s2309"/>
    <customShpInfo spid="_x0000_s2333"/>
    <customShpInfo spid="_x0000_s2308"/>
    <customShpInfo spid="_x0000_s2332"/>
    <customShpInfo spid="_x0000_s2326"/>
    <customShpInfo spid="_x0000_s2329"/>
    <customShpInfo spid="_x0000_s2328"/>
    <customShpInfo spid="_x0000_s2327"/>
    <customShpInfo spid="_x0000_s2338"/>
    <customShpInfo spid="_x0000_s2339"/>
    <customShpInfo spid="_x0000_s2340"/>
    <customShpInfo spid="_x0000_s2323"/>
    <customShpInfo spid="_x0000_s2343"/>
    <customShpInfo spid="_x0000_s2345"/>
    <customShpInfo spid="_x0000_s2344"/>
    <customShpInfo spid="_x0000_s2315"/>
    <customShpInfo spid="_x0000_s2342"/>
    <customShpInfo spid="_x0000_s2341"/>
    <customShpInfo spid="_x0000_s2307"/>
    <customShpInfo spid="_x0000_s2312"/>
    <customShpInfo spid="_x0000_s2313"/>
    <customShpInfo spid="_x0000_s2314"/>
    <customShpInfo spid="_x0000_s2316"/>
    <customShpInfo spid="_x0000_s2317"/>
    <customShpInfo spid="_x0000_s2318"/>
    <customShpInfo spid="_x0000_s2319"/>
    <customShpInfo spid="_x0000_s2320"/>
    <customShpInfo spid="_x0000_s2321"/>
    <customShpInfo spid="_x0000_s2322"/>
    <customShpInfo spid="_x0000_s2324"/>
    <customShpInfo spid="_x0000_s2325"/>
    <customShpInfo spid="_x0000_s2558"/>
    <customShpInfo spid="_x0000_s2559"/>
    <customShpInfo spid="_x0000_s2557"/>
    <customShpInfo spid="_x0000_s2457"/>
    <customShpInfo spid="_x0000_s2456"/>
    <customShpInfo spid="_x0000_s2455"/>
    <customShpInfo spid="_x0000_s2454"/>
    <customShpInfo spid="_x0000_s2449"/>
    <customShpInfo spid="_x0000_s2450"/>
    <customShpInfo spid="_x0000_s2451"/>
    <customShpInfo spid="_x0000_s2452"/>
    <customShpInfo spid="_x0000_s2453"/>
    <customShpInfo spid="_x0000_s2448"/>
    <customShpInfo spid="_x0000_s2436"/>
    <customShpInfo spid="_x0000_s2437"/>
    <customShpInfo spid="_x0000_s2438"/>
    <customShpInfo spid="_x0000_s2439"/>
    <customShpInfo spid="_x0000_s2440"/>
    <customShpInfo spid="_x0000_s2435"/>
    <customShpInfo spid="_x0000_s2442"/>
    <customShpInfo spid="_x0000_s2443"/>
    <customShpInfo spid="_x0000_s2444"/>
    <customShpInfo spid="_x0000_s2445"/>
    <customShpInfo spid="_x0000_s2446"/>
    <customShpInfo spid="_x0000_s2441"/>
    <customShpInfo spid="_x0000_s2447"/>
    <customShpInfo spid="_x0000_s2459"/>
    <customShpInfo spid="_x0000_s24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7343</Words>
  <Characters>41857</Characters>
  <Lines>348</Lines>
  <Paragraphs>98</Paragraphs>
  <ScaleCrop>false</ScaleCrop>
  <LinksUpToDate>false</LinksUpToDate>
  <CharactersWithSpaces>49102</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2016-10-10T04:28:00Z</dcterms:created>
  <dc:creator>XQ</dc:creator>
  <cp:lastModifiedBy>XQ</cp:lastModifiedBy>
  <dcterms:modified xsi:type="dcterms:W3CDTF">2016-12-18T08:06:29Z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